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7A927">
      <w:pPr>
        <w:rPr>
          <w:rFonts w:hint="eastAsia" w:ascii="方正公文小标宋" w:hAnsi="方正公文小标宋" w:eastAsia="方正公文小标宋" w:cs="方正公文小标宋"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>附件</w:t>
      </w:r>
      <w:r>
        <w:rPr>
          <w:rFonts w:hint="eastAsia" w:ascii="方正公文小标宋" w:hAnsi="方正公文小标宋" w:eastAsia="方正公文小标宋" w:cs="方正公文小标宋"/>
          <w:sz w:val="32"/>
          <w:szCs w:val="32"/>
          <w:lang w:val="en-US" w:eastAsia="zh-CN"/>
        </w:rPr>
        <w:t>2</w:t>
      </w:r>
    </w:p>
    <w:p w14:paraId="1DE4082F">
      <w:pPr>
        <w:rPr>
          <w:rFonts w:hint="eastAsia"/>
        </w:rPr>
      </w:pPr>
    </w:p>
    <w:p w14:paraId="751C82B3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农业农村部现代农业科技试验示范基地</w:t>
      </w:r>
    </w:p>
    <w:p w14:paraId="5C735969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条件要求</w:t>
      </w:r>
      <w:bookmarkStart w:id="0" w:name="_GoBack"/>
      <w:bookmarkEnd w:id="0"/>
    </w:p>
    <w:p w14:paraId="26A1E6DD">
      <w:pPr>
        <w:rPr>
          <w:rFonts w:hint="eastAsia"/>
        </w:rPr>
      </w:pPr>
    </w:p>
    <w:p w14:paraId="0E266A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根据《农业农村部现代农业科技试验示范基地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管理办法》</w:t>
      </w:r>
      <w:r>
        <w:rPr>
          <w:rFonts w:hint="eastAsia" w:ascii="仿宋" w:hAnsi="仿宋" w:eastAsia="仿宋" w:cs="仿宋"/>
          <w:sz w:val="32"/>
          <w:szCs w:val="32"/>
        </w:rPr>
        <w:t>试验示范基地应具备以下条件。</w:t>
      </w:r>
    </w:p>
    <w:p w14:paraId="11DDAD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baseline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一、依托单位</w:t>
      </w:r>
    </w:p>
    <w:p w14:paraId="11BFE7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托单位是试验示范基地的建设主体，包括牵头单位和联合单位，也可由各级农业技术推广机构独立建设。依托单位应具有独立法人资格，诚信状况良好，近3年无严重失信行为，能为试验示范基地提供建设经费、运行经费等必要的条件保障和政策支持。</w:t>
      </w:r>
    </w:p>
    <w:p w14:paraId="13FFEE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1.牵头单位类型可以是各级农业技术推广机构、农业科研单位、高等院校、涉农企业、农民专业合作社、国有农场等。</w:t>
      </w:r>
    </w:p>
    <w:p w14:paraId="3C777C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2.支持基层农业技术推广机构建设试验示范基地，支持地市级农业科研院所、涉农企业与县级农业技术推广机构联合作为依托单位。</w:t>
      </w:r>
    </w:p>
    <w:p w14:paraId="2A8556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3.牵头单位不是农业技术推广机构的，应有农业技术推广机构作为联合单位，试验示范基地所在地县级农业技术推广机构必须为联合单位之一。</w:t>
      </w:r>
    </w:p>
    <w:p w14:paraId="460624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4.多家依托单位联合申报的，应签署联合申报协议书</w:t>
      </w:r>
    </w:p>
    <w:p w14:paraId="22FC8B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baseline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二、技术支撑能力</w:t>
      </w:r>
    </w:p>
    <w:p w14:paraId="3E5C9D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开展农业技术试验示范和推广应用工作（主要为主导品种、主推技术和重大引领性技术）2年以上。每年示范展示部、省和本地区的主导品种、主推技术5项以上，集成技术模式1项以上，组织观摩培训2场次、100人次以上，支撑服务2个以上县域产业发展，技术推广应用效果显著。</w:t>
      </w:r>
    </w:p>
    <w:p w14:paraId="3ED7CF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baseline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三、硬件设施</w:t>
      </w:r>
    </w:p>
    <w:p w14:paraId="02E1D1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具有试验示范必需的固定场所，场所集中且自申请之日起具有10年以上经营权，具有土地所有权的优先。</w:t>
      </w:r>
    </w:p>
    <w:p w14:paraId="2A586D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试验示范基地土地所有权属于国有的，牵头单位应由县级以上政府批准划拨土地使用权，并具有长期土地使用权及场所所有权；土地所有权属于集体所有的，应以承包期为限、长期租赁土地，且人民政府、有关部门已经在土地上进行了固定建设投入。</w:t>
      </w:r>
    </w:p>
    <w:p w14:paraId="4E1C8A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2.具有适宜的面积规模，符合开展种植业、畜牧兽医、渔业、农机、资源环境等行业领域示范推广工作的要求。</w:t>
      </w:r>
    </w:p>
    <w:p w14:paraId="42939E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基础设施完善，配套设施设备满足需要。土地集中连片，沟、渠、路、涵、闸等基础设施较好，灌排方便；拥有开展试验示范、展示服务等活动的场所；根据行业领域特点配备农业机械、设施栏舍和智能化设备等设施装备，有较高的机械化、信息化水平。</w:t>
      </w:r>
    </w:p>
    <w:p w14:paraId="6BFE95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baseline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四、人才队伍</w:t>
      </w:r>
    </w:p>
    <w:p w14:paraId="55F727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与核心服务能力相适应的人才队伍，人员结构合理有具备组织制定先进农业技术熟化验证、技术集成、示范推广方案的固定团队。团队管理和技术人员中，具有相关领域副高级以上技术职称人员不少于3名，中级以上技术职称人员不少于5名。</w:t>
      </w:r>
    </w:p>
    <w:p w14:paraId="0819AD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五、管理制度</w:t>
      </w:r>
    </w:p>
    <w:p w14:paraId="64BF26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具有规范有效的管理运行制度，积极与各级农业技术推广机构、农业科研单位、高等院校、涉农企业、农民专业合作社、国有农场等开展合作服务，探索建立农业科技成果转化应用的机制模式。</w:t>
      </w:r>
    </w:p>
    <w:p w14:paraId="549153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baseline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六、其他</w:t>
      </w:r>
    </w:p>
    <w:p w14:paraId="5B884E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具备必须的安全、环保设施或措施，近3年未发生重大安全或严重环境违法违规行为。</w:t>
      </w:r>
    </w:p>
    <w:p w14:paraId="54CA9B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1B54C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附：各行业领域细化条件要求</w:t>
      </w:r>
    </w:p>
    <w:p w14:paraId="57DE9F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835DA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D3A88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D12C1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98AE1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36BE1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11128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6B5BB03">
      <w:pPr>
        <w:spacing w:before="94" w:line="222" w:lineRule="auto"/>
        <w:rPr>
          <w:rFonts w:hint="eastAsia" w:ascii="方正公文小标宋" w:hAnsi="方正公文小标宋" w:eastAsia="方正公文小标宋" w:cs="方正公文小标宋"/>
          <w:b w:val="0"/>
          <w:bCs w:val="0"/>
          <w:spacing w:val="-3"/>
          <w:sz w:val="43"/>
          <w:szCs w:val="43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3"/>
          <w:sz w:val="43"/>
          <w:szCs w:val="43"/>
          <w:lang w:val="en-US" w:eastAsia="zh-CN"/>
        </w:rPr>
        <w:t>附：</w:t>
      </w:r>
    </w:p>
    <w:p w14:paraId="6928332A">
      <w:pPr>
        <w:spacing w:before="94" w:line="222" w:lineRule="auto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pacing w:val="-3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3"/>
          <w:sz w:val="44"/>
          <w:szCs w:val="44"/>
        </w:rPr>
        <w:t>各行业领域细化条件要求</w:t>
      </w:r>
    </w:p>
    <w:p w14:paraId="5E0B6BD3">
      <w:pPr>
        <w:spacing w:before="94" w:line="222" w:lineRule="auto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pacing w:val="-3"/>
          <w:sz w:val="44"/>
          <w:szCs w:val="44"/>
        </w:rPr>
      </w:pPr>
    </w:p>
    <w:p w14:paraId="7AEAB835">
      <w:pPr>
        <w:spacing w:line="204" w:lineRule="exact"/>
      </w:pPr>
    </w:p>
    <w:tbl>
      <w:tblPr>
        <w:tblStyle w:val="6"/>
        <w:tblW w:w="86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7486"/>
      </w:tblGrid>
      <w:tr w14:paraId="40A5EC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129" w:type="dxa"/>
            <w:vAlign w:val="top"/>
          </w:tcPr>
          <w:p w14:paraId="326C84E2">
            <w:pPr>
              <w:spacing w:before="181" w:line="226" w:lineRule="auto"/>
              <w:ind w:left="172"/>
              <w:rPr>
                <w:rFonts w:hint="eastAsia" w:ascii="方正公文小标宋" w:hAnsi="方正公文小标宋" w:eastAsia="方正公文小标宋" w:cs="方正公文小标宋"/>
                <w:sz w:val="22"/>
                <w:szCs w:val="22"/>
              </w:rPr>
            </w:pPr>
            <w:r>
              <w:rPr>
                <w:rFonts w:hint="eastAsia" w:ascii="方正公文小标宋" w:hAnsi="方正公文小标宋" w:eastAsia="方正公文小标宋" w:cs="方正公文小标宋"/>
                <w:sz w:val="22"/>
                <w:szCs w:val="22"/>
              </w:rPr>
              <w:t>行业领域</w:t>
            </w:r>
          </w:p>
        </w:tc>
        <w:tc>
          <w:tcPr>
            <w:tcW w:w="7486" w:type="dxa"/>
            <w:vAlign w:val="top"/>
          </w:tcPr>
          <w:p w14:paraId="660EFB69">
            <w:pPr>
              <w:spacing w:before="181" w:line="227" w:lineRule="auto"/>
              <w:ind w:left="3350"/>
              <w:rPr>
                <w:rFonts w:hint="eastAsia" w:ascii="方正公文小标宋" w:hAnsi="方正公文小标宋" w:eastAsia="方正公文小标宋" w:cs="方正公文小标宋"/>
                <w:sz w:val="22"/>
                <w:szCs w:val="22"/>
              </w:rPr>
            </w:pPr>
            <w:r>
              <w:rPr>
                <w:rFonts w:hint="eastAsia" w:ascii="方正公文小标宋" w:hAnsi="方正公文小标宋" w:eastAsia="方正公文小标宋" w:cs="方正公文小标宋"/>
                <w:spacing w:val="1"/>
                <w:sz w:val="22"/>
                <w:szCs w:val="22"/>
              </w:rPr>
              <w:t>条件要求</w:t>
            </w:r>
          </w:p>
        </w:tc>
      </w:tr>
      <w:tr w14:paraId="320E00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129" w:type="dxa"/>
            <w:vAlign w:val="top"/>
          </w:tcPr>
          <w:p w14:paraId="53031D92">
            <w:pPr>
              <w:pStyle w:val="7"/>
              <w:spacing w:before="174" w:line="228" w:lineRule="auto"/>
              <w:ind w:left="26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种植业</w:t>
            </w:r>
          </w:p>
        </w:tc>
        <w:tc>
          <w:tcPr>
            <w:tcW w:w="7486" w:type="dxa"/>
            <w:vAlign w:val="top"/>
          </w:tcPr>
          <w:p w14:paraId="56956D69">
            <w:pPr>
              <w:pStyle w:val="7"/>
              <w:spacing w:before="106" w:line="229" w:lineRule="auto"/>
              <w:ind w:left="11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大田面积不低于</w:t>
            </w:r>
            <w:r>
              <w:rPr>
                <w:rFonts w:hint="eastAsia" w:ascii="仿宋" w:hAnsi="仿宋" w:eastAsia="仿宋" w:cs="仿宋"/>
                <w:spacing w:val="-35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100 亩，设施农业面积不低于</w:t>
            </w:r>
            <w:r>
              <w:rPr>
                <w:rFonts w:hint="eastAsia" w:ascii="仿宋" w:hAnsi="仿宋" w:eastAsia="仿宋" w:cs="仿宋"/>
                <w:spacing w:val="-5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50 亩。</w:t>
            </w:r>
          </w:p>
        </w:tc>
      </w:tr>
      <w:tr w14:paraId="3479F3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3" w:hRule="atLeast"/>
        </w:trPr>
        <w:tc>
          <w:tcPr>
            <w:tcW w:w="1129" w:type="dxa"/>
            <w:vAlign w:val="top"/>
          </w:tcPr>
          <w:p w14:paraId="0AA5216E">
            <w:pPr>
              <w:spacing w:line="248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0A4E6DF8">
            <w:pPr>
              <w:spacing w:line="248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154543F3">
            <w:pPr>
              <w:spacing w:line="248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42D1FDBD">
            <w:pPr>
              <w:spacing w:line="249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788C7715">
            <w:pPr>
              <w:pStyle w:val="7"/>
              <w:spacing w:before="65" w:line="228" w:lineRule="auto"/>
              <w:ind w:left="18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畜牧兽医</w:t>
            </w:r>
          </w:p>
        </w:tc>
        <w:tc>
          <w:tcPr>
            <w:tcW w:w="7486" w:type="dxa"/>
            <w:vAlign w:val="top"/>
          </w:tcPr>
          <w:p w14:paraId="67380D8A">
            <w:pPr>
              <w:pStyle w:val="7"/>
              <w:spacing w:before="102" w:line="323" w:lineRule="auto"/>
              <w:ind w:left="114" w:right="20" w:firstLine="11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畜牧养殖：生猪年出栏</w:t>
            </w:r>
            <w:r>
              <w:rPr>
                <w:rFonts w:hint="eastAsia" w:ascii="仿宋" w:hAnsi="仿宋" w:eastAsia="仿宋" w:cs="仿宋"/>
                <w:spacing w:val="-35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</w:rPr>
              <w:t>1</w:t>
            </w:r>
            <w:r>
              <w:rPr>
                <w:rFonts w:hint="eastAsia" w:ascii="仿宋" w:hAnsi="仿宋" w:eastAsia="仿宋" w:cs="仿宋"/>
                <w:spacing w:val="1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</w:rPr>
              <w:t>万头以上或能繁母猪存栏</w:t>
            </w:r>
            <w:r>
              <w:rPr>
                <w:rFonts w:hint="eastAsia" w:ascii="仿宋" w:hAnsi="仿宋" w:eastAsia="仿宋" w:cs="仿宋"/>
                <w:spacing w:val="-57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</w:rPr>
              <w:t>200</w:t>
            </w:r>
            <w:r>
              <w:rPr>
                <w:rFonts w:hint="eastAsia" w:ascii="仿宋" w:hAnsi="仿宋" w:eastAsia="仿宋" w:cs="仿宋"/>
                <w:spacing w:val="-2"/>
              </w:rPr>
              <w:t>0 头以上，蛋鸡存栏</w:t>
            </w:r>
            <w:r>
              <w:rPr>
                <w:rFonts w:hint="eastAsia" w:ascii="仿宋" w:hAnsi="仿宋" w:eastAsia="仿宋" w:cs="仿宋"/>
                <w:spacing w:val="-50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</w:rPr>
              <w:t>5</w:t>
            </w:r>
            <w:r>
              <w:rPr>
                <w:rFonts w:hint="eastAsia" w:ascii="仿宋" w:hAnsi="仿宋" w:eastAsia="仿宋" w:cs="仿宋"/>
                <w:spacing w:val="15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</w:rPr>
              <w:t>万只以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</w:rPr>
              <w:t>上，肉鸡或水禽年出栏</w:t>
            </w:r>
            <w:r>
              <w:rPr>
                <w:rFonts w:hint="eastAsia" w:ascii="仿宋" w:hAnsi="仿宋" w:eastAsia="仿宋" w:cs="仿宋"/>
                <w:spacing w:val="-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</w:rPr>
              <w:t>10 万只以上，奶牛存栏</w:t>
            </w:r>
            <w:r>
              <w:rPr>
                <w:rFonts w:hint="eastAsia" w:ascii="仿宋" w:hAnsi="仿宋" w:eastAsia="仿宋" w:cs="仿宋"/>
                <w:spacing w:val="-4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</w:rPr>
              <w:t>3000 头以上，肉牛出栏</w:t>
            </w:r>
            <w:r>
              <w:rPr>
                <w:rFonts w:hint="eastAsia" w:ascii="仿宋" w:hAnsi="仿宋" w:eastAsia="仿宋" w:cs="仿宋"/>
                <w:spacing w:val="-47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</w:rPr>
              <w:t>500 头以上，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羊出栏</w:t>
            </w:r>
            <w:r>
              <w:rPr>
                <w:rFonts w:hint="eastAsia" w:ascii="仿宋" w:hAnsi="仿宋" w:eastAsia="仿宋" w:cs="仿宋"/>
                <w:spacing w:val="-35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1000</w:t>
            </w:r>
            <w:r>
              <w:rPr>
                <w:rFonts w:hint="eastAsia" w:ascii="仿宋" w:hAnsi="仿宋" w:eastAsia="仿宋" w:cs="仿宋"/>
                <w:spacing w:val="16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只以上，蜂养殖</w:t>
            </w:r>
            <w:r>
              <w:rPr>
                <w:rFonts w:hint="eastAsia" w:ascii="仿宋" w:hAnsi="仿宋" w:eastAsia="仿宋" w:cs="仿宋"/>
                <w:spacing w:val="-55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200 群以上，特种畜禽养殖参照</w:t>
            </w:r>
            <w:r>
              <w:rPr>
                <w:rFonts w:hint="eastAsia" w:ascii="仿宋" w:hAnsi="仿宋" w:eastAsia="仿宋" w:cs="仿宋"/>
              </w:rPr>
              <w:t>以上规模。</w:t>
            </w:r>
          </w:p>
          <w:p w14:paraId="3EC22B18">
            <w:pPr>
              <w:pStyle w:val="7"/>
              <w:spacing w:before="32" w:line="322" w:lineRule="auto"/>
              <w:ind w:left="112" w:right="6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兽医：相应养殖规模可适当减少，还应满足实现至少</w:t>
            </w:r>
            <w:r>
              <w:rPr>
                <w:rFonts w:hint="eastAsia" w:ascii="仿宋" w:hAnsi="仿宋" w:eastAsia="仿宋" w:cs="仿宋"/>
                <w:spacing w:val="-26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1 种动物疫病净化或无疫、兽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</w:rPr>
              <w:t>用抗菌药使用减量化取得显著成效、常见病发病率低于</w:t>
            </w:r>
            <w:r>
              <w:rPr>
                <w:rFonts w:hint="eastAsia" w:ascii="仿宋" w:hAnsi="仿宋" w:eastAsia="仿宋" w:cs="仿宋"/>
                <w:spacing w:val="-4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</w:rPr>
              <w:t>3%、</w:t>
            </w:r>
            <w:r>
              <w:rPr>
                <w:rFonts w:hint="eastAsia" w:ascii="仿宋" w:hAnsi="仿宋" w:eastAsia="仿宋" w:cs="仿宋"/>
                <w:spacing w:val="4"/>
              </w:rPr>
              <w:t>强制免疫病种抗体合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格率达到</w:t>
            </w:r>
            <w:r>
              <w:rPr>
                <w:rFonts w:hint="eastAsia" w:ascii="仿宋" w:hAnsi="仿宋" w:eastAsia="仿宋" w:cs="仿宋"/>
                <w:spacing w:val="-50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90%以上（实施非免疫净化或非免疫</w:t>
            </w:r>
            <w:r>
              <w:rPr>
                <w:rFonts w:hint="eastAsia" w:ascii="仿宋" w:hAnsi="仿宋" w:eastAsia="仿宋" w:cs="仿宋"/>
                <w:spacing w:val="1"/>
              </w:rPr>
              <w:t>无疫的病种除外）。</w:t>
            </w:r>
          </w:p>
        </w:tc>
      </w:tr>
      <w:tr w14:paraId="144EE0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1129" w:type="dxa"/>
            <w:vAlign w:val="top"/>
          </w:tcPr>
          <w:p w14:paraId="4FA2E3D8">
            <w:pPr>
              <w:spacing w:line="401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6D0EAAFE">
            <w:pPr>
              <w:pStyle w:val="7"/>
              <w:spacing w:before="65" w:line="237" w:lineRule="auto"/>
              <w:ind w:left="371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渔业</w:t>
            </w:r>
          </w:p>
        </w:tc>
        <w:tc>
          <w:tcPr>
            <w:tcW w:w="7486" w:type="dxa"/>
            <w:vAlign w:val="top"/>
          </w:tcPr>
          <w:p w14:paraId="66080FC2">
            <w:pPr>
              <w:pStyle w:val="7"/>
              <w:spacing w:before="108" w:line="297" w:lineRule="auto"/>
              <w:ind w:left="112" w:right="70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池塘养殖水面不少于</w:t>
            </w:r>
            <w:r>
              <w:rPr>
                <w:rFonts w:hint="eastAsia" w:ascii="仿宋" w:hAnsi="仿宋" w:eastAsia="仿宋" w:cs="仿宋"/>
                <w:spacing w:val="-34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100 亩，设施养殖水面不</w:t>
            </w:r>
            <w:r>
              <w:rPr>
                <w:rFonts w:hint="eastAsia" w:ascii="仿宋" w:hAnsi="仿宋" w:eastAsia="仿宋" w:cs="仿宋"/>
                <w:spacing w:val="-1"/>
              </w:rPr>
              <w:t>少于</w:t>
            </w:r>
            <w:r>
              <w:rPr>
                <w:rFonts w:hint="eastAsia" w:ascii="仿宋" w:hAnsi="仿宋" w:eastAsia="仿宋" w:cs="仿宋"/>
                <w:spacing w:val="-51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</w:rPr>
              <w:t>5000 平方米，工厂化养殖水体不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少于</w:t>
            </w:r>
            <w:r>
              <w:rPr>
                <w:rFonts w:hint="eastAsia" w:ascii="仿宋" w:hAnsi="仿宋" w:eastAsia="仿宋" w:cs="仿宋"/>
                <w:spacing w:val="-27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1000 立方米，深远海设施养殖水体不少于</w:t>
            </w:r>
            <w:r>
              <w:rPr>
                <w:rFonts w:hint="eastAsia" w:ascii="仿宋" w:hAnsi="仿宋" w:eastAsia="仿宋" w:cs="仿宋"/>
                <w:spacing w:val="-35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1 万立方米，网箱不少于</w:t>
            </w:r>
            <w:r>
              <w:rPr>
                <w:rFonts w:hint="eastAsia" w:ascii="仿宋" w:hAnsi="仿宋" w:eastAsia="仿宋" w:cs="仿宋"/>
                <w:spacing w:val="-37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1000 立方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米。</w:t>
            </w:r>
          </w:p>
        </w:tc>
      </w:tr>
      <w:tr w14:paraId="6539E4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3" w:hRule="atLeast"/>
        </w:trPr>
        <w:tc>
          <w:tcPr>
            <w:tcW w:w="1129" w:type="dxa"/>
            <w:vAlign w:val="top"/>
          </w:tcPr>
          <w:p w14:paraId="54EE5BAF">
            <w:pPr>
              <w:spacing w:line="259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2DA93AFB">
            <w:pPr>
              <w:spacing w:line="259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6357B336">
            <w:pPr>
              <w:spacing w:line="259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257FB6D2">
            <w:pPr>
              <w:spacing w:line="259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5A7CA4CB">
            <w:pPr>
              <w:spacing w:line="259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2FE22AED">
            <w:pPr>
              <w:pStyle w:val="7"/>
              <w:spacing w:before="65" w:line="228" w:lineRule="auto"/>
              <w:ind w:left="37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农机</w:t>
            </w:r>
          </w:p>
        </w:tc>
        <w:tc>
          <w:tcPr>
            <w:tcW w:w="7486" w:type="dxa"/>
            <w:vAlign w:val="top"/>
          </w:tcPr>
          <w:p w14:paraId="7718CB27">
            <w:pPr>
              <w:pStyle w:val="7"/>
              <w:spacing w:before="107" w:line="318" w:lineRule="auto"/>
              <w:ind w:left="112" w:right="71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种植机械：满足种植业领域基地面积要求，还应拥有一</w:t>
            </w:r>
            <w:r>
              <w:rPr>
                <w:rFonts w:hint="eastAsia" w:ascii="仿宋" w:hAnsi="仿宋" w:eastAsia="仿宋" w:cs="仿宋"/>
                <w:spacing w:val="2"/>
              </w:rPr>
              <w:t>定数量的高性能智能化农机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装备，机具配置满足应急救灾需要，按需配有机库棚和维修间等设施。</w:t>
            </w:r>
          </w:p>
          <w:p w14:paraId="23C0A215">
            <w:pPr>
              <w:pStyle w:val="7"/>
              <w:spacing w:before="30" w:line="323" w:lineRule="auto"/>
              <w:ind w:left="111" w:right="34" w:firstLine="1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畜牧养殖机械：满足畜牧领域规模要求，还应适配一定数量的精准饲喂设备、个体</w:t>
            </w:r>
            <w:r>
              <w:rPr>
                <w:rFonts w:hint="eastAsia" w:ascii="仿宋" w:hAnsi="仿宋" w:eastAsia="仿宋" w:cs="仿宋"/>
                <w:spacing w:val="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3"/>
              </w:rPr>
              <w:t>体征监测设备、环境精准调控设备、消杀防疫机械、智能</w:t>
            </w:r>
            <w:r>
              <w:rPr>
                <w:rFonts w:hint="eastAsia" w:ascii="仿宋" w:hAnsi="仿宋" w:eastAsia="仿宋" w:cs="仿宋"/>
                <w:spacing w:val="2"/>
              </w:rPr>
              <w:t>巡检设备、畜禽产品采集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</w:rPr>
              <w:t>储运设备、粪污收集与处理设备、病死畜禽无害化处理设备以及数字化管理系统等。</w:t>
            </w:r>
          </w:p>
          <w:p w14:paraId="04FBDDDC">
            <w:pPr>
              <w:pStyle w:val="7"/>
              <w:spacing w:before="30" w:line="297" w:lineRule="auto"/>
              <w:ind w:left="113" w:right="90" w:firstLine="1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水产养殖机械：满足渔业领域规模要求，还应适配一定数量的智能投喂机械、水质 监测调控设备、自动增氧设备、尾水处理设施设备、捕捞机械设备以及数字化管理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"/>
              </w:rPr>
              <w:t>系统等。</w:t>
            </w:r>
          </w:p>
        </w:tc>
      </w:tr>
      <w:tr w14:paraId="3ED2F4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8" w:hRule="atLeast"/>
        </w:trPr>
        <w:tc>
          <w:tcPr>
            <w:tcW w:w="1129" w:type="dxa"/>
            <w:vAlign w:val="top"/>
          </w:tcPr>
          <w:p w14:paraId="6D952D28">
            <w:pPr>
              <w:spacing w:line="279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412DDA76">
            <w:pPr>
              <w:spacing w:line="279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4EE6AB11">
            <w:pPr>
              <w:spacing w:line="280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5E8EBDAB">
            <w:pPr>
              <w:spacing w:line="280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328816D6">
            <w:pPr>
              <w:pStyle w:val="7"/>
              <w:spacing w:before="65" w:line="229" w:lineRule="auto"/>
              <w:ind w:left="17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资源环境</w:t>
            </w:r>
          </w:p>
        </w:tc>
        <w:tc>
          <w:tcPr>
            <w:tcW w:w="7486" w:type="dxa"/>
            <w:vAlign w:val="top"/>
          </w:tcPr>
          <w:p w14:paraId="6D487BA6">
            <w:pPr>
              <w:pStyle w:val="7"/>
              <w:spacing w:before="108" w:line="323" w:lineRule="auto"/>
              <w:ind w:left="112" w:right="6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种植业：满足种植业领域基地面积要求，重点考虑秸秆高值</w:t>
            </w:r>
            <w:r>
              <w:rPr>
                <w:rFonts w:hint="eastAsia" w:ascii="仿宋" w:hAnsi="仿宋" w:eastAsia="仿宋" w:cs="仿宋"/>
                <w:spacing w:val="2"/>
              </w:rPr>
              <w:t>化综合利用、地膜科学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</w:rPr>
              <w:t>使用回收处置、耕地重金属污染防治、农业野生植物驯化利用、外来入侵物种防</w:t>
            </w:r>
            <w:r>
              <w:rPr>
                <w:rFonts w:hint="eastAsia" w:ascii="仿宋" w:hAnsi="仿宋" w:eastAsia="仿宋" w:cs="仿宋"/>
                <w:spacing w:val="-2"/>
              </w:rPr>
              <w:t>控、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农业面源污染治理、农业生产气候韧性提升等方面技术示范推广。</w:t>
            </w:r>
          </w:p>
          <w:p w14:paraId="176A8483">
            <w:pPr>
              <w:pStyle w:val="7"/>
              <w:spacing w:before="31" w:line="318" w:lineRule="auto"/>
              <w:ind w:left="111" w:right="6" w:firstLine="1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畜牧业：满足畜牧领域基地规模要求，重点考虑农</w:t>
            </w:r>
            <w:r>
              <w:rPr>
                <w:rFonts w:hint="eastAsia" w:ascii="仿宋" w:hAnsi="仿宋" w:eastAsia="仿宋" w:cs="仿宋"/>
                <w:spacing w:val="-2"/>
              </w:rPr>
              <w:t>业面源污染治理、生态循环农业、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低碳环保等方面技术示范推广。</w:t>
            </w:r>
          </w:p>
          <w:p w14:paraId="7BC8238E">
            <w:pPr>
              <w:pStyle w:val="7"/>
              <w:spacing w:before="32" w:line="280" w:lineRule="auto"/>
              <w:ind w:left="111" w:right="69" w:firstLine="1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渔业：满足渔业领域基地规模要求，重点考虑农业面源污</w:t>
            </w:r>
            <w:r>
              <w:rPr>
                <w:rFonts w:hint="eastAsia" w:ascii="仿宋" w:hAnsi="仿宋" w:eastAsia="仿宋" w:cs="仿宋"/>
                <w:spacing w:val="2"/>
              </w:rPr>
              <w:t>染治理、外来入侵物种防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控、低碳环保等方面技术示范推广。</w:t>
            </w:r>
          </w:p>
        </w:tc>
      </w:tr>
    </w:tbl>
    <w:p w14:paraId="291FFA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5D2D5F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DA728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baseline"/>
        <w:rPr>
          <w:rFonts w:hint="eastAsia" w:ascii="仿宋" w:hAnsi="仿宋" w:eastAsia="仿宋" w:cs="仿宋"/>
          <w:b/>
          <w:bCs/>
          <w:sz w:val="32"/>
          <w:szCs w:val="32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C5FBE4E-7785-4B5B-9A6E-119B1818E7F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53EB762-A445-4F52-BE57-02C7B4E59C8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24FE0514-DA5B-4D65-8047-BA5DF29FD173}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汉仪综艺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汉仪雅酷黑简">
    <w:panose1 w:val="00020600040101010101"/>
    <w:charset w:val="86"/>
    <w:family w:val="auto"/>
    <w:pitch w:val="default"/>
    <w:sig w:usb0="A00002BF" w:usb1="1AC17CFA" w:usb2="00000016" w:usb3="00000000" w:csb0="0004009F" w:csb1="DFD70000"/>
  </w:font>
  <w:font w:name="汉仪方叠体繁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健力体 简 Heavy">
    <w:panose1 w:val="02000A00000000000000"/>
    <w:charset w:val="86"/>
    <w:family w:val="auto"/>
    <w:pitch w:val="default"/>
    <w:sig w:usb0="A00002BF" w:usb1="184F6CFA" w:usb2="00000012" w:usb3="00000000" w:csb0="00040001" w:csb1="00000000"/>
  </w:font>
  <w:font w:name="方正大标宋_GBK">
    <w:panose1 w:val="02000000000000000000"/>
    <w:charset w:val="86"/>
    <w:family w:val="auto"/>
    <w:pitch w:val="default"/>
    <w:sig w:usb0="A00002BF" w:usb1="08CF7CFA" w:usb2="00000000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40C23">
    <w:pPr>
      <w:pStyle w:val="2"/>
      <w:spacing w:line="157" w:lineRule="auto"/>
      <w:jc w:val="right"/>
      <w:rPr>
        <w:sz w:val="27"/>
        <w:szCs w:val="2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2255E"/>
    <w:rsid w:val="5922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2025-05-19T08:51:00Z</dcterms:created>
  <dc:creator>Regen</dc:creator>
  <cp:lastModifiedBy>Regen</cp:lastModifiedBy>
  <dcterms:modified xsi:type="dcterms:W3CDTF">2025-05-19T09:01:19Z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B411E706596E425FBE7C60B434D917A0_11</vt:lpwstr>
  </property>
  <property fmtid="{D5CDD505-2E9C-101B-9397-08002B2CF9AE}" pid="4" name="KSOTemplateDocerSaveRecord">
    <vt:lpwstr>eyJoZGlkIjoiYjA2NThhZWVhZTdmNmU0MmU4MTNiOTc3NGQyMDUwMDIiLCJ1c2VySWQiOiI0MzA0ODc4MjUifQ==</vt:lpwstr>
  </property>
</Properties>
</file>