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5FB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附件3</w:t>
      </w:r>
    </w:p>
    <w:p w14:paraId="51ED3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</w:p>
    <w:p w14:paraId="7B3FC6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  <w:t>专项中央预算内投资计划绩效目标表</w:t>
      </w:r>
    </w:p>
    <w:p w14:paraId="4050B9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hAnsi="方正小标宋简体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（202</w:t>
      </w:r>
      <w:r>
        <w:rPr>
          <w:rFonts w:hint="eastAsia" w:ascii="仿宋_GB2312" w:hAnsi="方正小标宋简体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ascii="仿宋_GB2312" w:hAnsi="方正小标宋简体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年度）</w:t>
      </w:r>
      <w:bookmarkStart w:id="0" w:name="_GoBack"/>
      <w:bookmarkEnd w:id="0"/>
    </w:p>
    <w:p w14:paraId="3CCE9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3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947"/>
        <w:gridCol w:w="1353"/>
        <w:gridCol w:w="1152"/>
        <w:gridCol w:w="2455"/>
        <w:gridCol w:w="1825"/>
      </w:tblGrid>
      <w:tr w14:paraId="4CD54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78" w:type="dxa"/>
            <w:gridSpan w:val="4"/>
            <w:vAlign w:val="center"/>
          </w:tcPr>
          <w:p w14:paraId="4509E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专项名称</w:t>
            </w:r>
          </w:p>
        </w:tc>
        <w:tc>
          <w:tcPr>
            <w:tcW w:w="4280" w:type="dxa"/>
            <w:gridSpan w:val="2"/>
            <w:vAlign w:val="center"/>
          </w:tcPr>
          <w:p w14:paraId="5FA6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B2E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78" w:type="dxa"/>
            <w:gridSpan w:val="4"/>
            <w:vAlign w:val="center"/>
          </w:tcPr>
          <w:p w14:paraId="3AEA82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申报地方或单位</w:t>
            </w:r>
          </w:p>
        </w:tc>
        <w:tc>
          <w:tcPr>
            <w:tcW w:w="4280" w:type="dxa"/>
            <w:gridSpan w:val="2"/>
            <w:vAlign w:val="center"/>
          </w:tcPr>
          <w:p w14:paraId="335FA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6D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78" w:type="dxa"/>
            <w:gridSpan w:val="4"/>
            <w:vAlign w:val="center"/>
          </w:tcPr>
          <w:p w14:paraId="57F7C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申请中央预算内投资（万元）</w:t>
            </w:r>
          </w:p>
        </w:tc>
        <w:tc>
          <w:tcPr>
            <w:tcW w:w="4280" w:type="dxa"/>
            <w:gridSpan w:val="2"/>
            <w:vAlign w:val="center"/>
          </w:tcPr>
          <w:p w14:paraId="2436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576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Align w:val="center"/>
          </w:tcPr>
          <w:p w14:paraId="65632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总体目标</w:t>
            </w:r>
          </w:p>
        </w:tc>
        <w:tc>
          <w:tcPr>
            <w:tcW w:w="7732" w:type="dxa"/>
            <w:gridSpan w:val="5"/>
            <w:vAlign w:val="center"/>
          </w:tcPr>
          <w:p w14:paraId="78E4B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（总体目标描述专项在本年度预期达到的整体产出和效果。）</w:t>
            </w:r>
          </w:p>
        </w:tc>
      </w:tr>
      <w:tr w14:paraId="3464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Align w:val="center"/>
          </w:tcPr>
          <w:p w14:paraId="106A5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绩效指标</w:t>
            </w:r>
          </w:p>
        </w:tc>
        <w:tc>
          <w:tcPr>
            <w:tcW w:w="947" w:type="dxa"/>
            <w:vAlign w:val="center"/>
          </w:tcPr>
          <w:p w14:paraId="39942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一级指标</w:t>
            </w:r>
          </w:p>
        </w:tc>
        <w:tc>
          <w:tcPr>
            <w:tcW w:w="1353" w:type="dxa"/>
            <w:vAlign w:val="center"/>
          </w:tcPr>
          <w:p w14:paraId="70278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二级指标</w:t>
            </w:r>
          </w:p>
        </w:tc>
        <w:tc>
          <w:tcPr>
            <w:tcW w:w="3607" w:type="dxa"/>
            <w:gridSpan w:val="2"/>
            <w:vAlign w:val="center"/>
          </w:tcPr>
          <w:p w14:paraId="4B47D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三级指标</w:t>
            </w:r>
          </w:p>
        </w:tc>
        <w:tc>
          <w:tcPr>
            <w:tcW w:w="1825" w:type="dxa"/>
            <w:vAlign w:val="center"/>
          </w:tcPr>
          <w:p w14:paraId="436CC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指标值</w:t>
            </w:r>
          </w:p>
        </w:tc>
      </w:tr>
      <w:tr w14:paraId="3576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restart"/>
            <w:vAlign w:val="center"/>
          </w:tcPr>
          <w:p w14:paraId="5E3EA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绩效指标</w:t>
            </w:r>
          </w:p>
        </w:tc>
        <w:tc>
          <w:tcPr>
            <w:tcW w:w="947" w:type="dxa"/>
            <w:vMerge w:val="restart"/>
            <w:vAlign w:val="center"/>
          </w:tcPr>
          <w:p w14:paraId="5C6EA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实施效果指标</w:t>
            </w:r>
          </w:p>
        </w:tc>
        <w:tc>
          <w:tcPr>
            <w:tcW w:w="1353" w:type="dxa"/>
            <w:vMerge w:val="restart"/>
            <w:vAlign w:val="center"/>
          </w:tcPr>
          <w:p w14:paraId="6D263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产出指标</w:t>
            </w:r>
          </w:p>
        </w:tc>
        <w:tc>
          <w:tcPr>
            <w:tcW w:w="1152" w:type="dxa"/>
            <w:vMerge w:val="restart"/>
            <w:vAlign w:val="center"/>
          </w:tcPr>
          <w:p w14:paraId="07938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数量指标</w:t>
            </w:r>
          </w:p>
        </w:tc>
        <w:tc>
          <w:tcPr>
            <w:tcW w:w="2455" w:type="dxa"/>
            <w:vAlign w:val="center"/>
          </w:tcPr>
          <w:p w14:paraId="4840B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开工项目个数</w:t>
            </w:r>
          </w:p>
        </w:tc>
        <w:tc>
          <w:tcPr>
            <w:tcW w:w="1825" w:type="dxa"/>
            <w:vAlign w:val="center"/>
          </w:tcPr>
          <w:p w14:paraId="03AC4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7D1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0444E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356AD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Merge w:val="continue"/>
            <w:vAlign w:val="center"/>
          </w:tcPr>
          <w:p w14:paraId="29438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2" w:type="dxa"/>
            <w:vMerge w:val="continue"/>
            <w:vAlign w:val="center"/>
          </w:tcPr>
          <w:p w14:paraId="248E5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455" w:type="dxa"/>
            <w:vAlign w:val="center"/>
          </w:tcPr>
          <w:p w14:paraId="1D181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完工项目个数</w:t>
            </w:r>
          </w:p>
        </w:tc>
        <w:tc>
          <w:tcPr>
            <w:tcW w:w="1825" w:type="dxa"/>
            <w:vAlign w:val="center"/>
          </w:tcPr>
          <w:p w14:paraId="4765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906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1D9A4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4696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Merge w:val="continue"/>
            <w:vAlign w:val="center"/>
          </w:tcPr>
          <w:p w14:paraId="4E656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2" w:type="dxa"/>
            <w:vAlign w:val="center"/>
          </w:tcPr>
          <w:p w14:paraId="23330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质量指标</w:t>
            </w:r>
          </w:p>
        </w:tc>
        <w:tc>
          <w:tcPr>
            <w:tcW w:w="2455" w:type="dxa"/>
            <w:vAlign w:val="center"/>
          </w:tcPr>
          <w:p w14:paraId="45634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工程竣工验收合格率</w:t>
            </w:r>
          </w:p>
        </w:tc>
        <w:tc>
          <w:tcPr>
            <w:tcW w:w="1825" w:type="dxa"/>
            <w:vAlign w:val="center"/>
          </w:tcPr>
          <w:p w14:paraId="15A7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494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596AB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3590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Merge w:val="continue"/>
            <w:vAlign w:val="center"/>
          </w:tcPr>
          <w:p w14:paraId="2311D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2" w:type="dxa"/>
            <w:vAlign w:val="center"/>
          </w:tcPr>
          <w:p w14:paraId="607AE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时效指标</w:t>
            </w:r>
          </w:p>
        </w:tc>
        <w:tc>
          <w:tcPr>
            <w:tcW w:w="2455" w:type="dxa"/>
            <w:vAlign w:val="center"/>
          </w:tcPr>
          <w:p w14:paraId="19ECD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按进度计划实施情况</w:t>
            </w:r>
          </w:p>
        </w:tc>
        <w:tc>
          <w:tcPr>
            <w:tcW w:w="1825" w:type="dxa"/>
            <w:vAlign w:val="center"/>
          </w:tcPr>
          <w:p w14:paraId="7383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143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110A0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62A22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Merge w:val="continue"/>
            <w:vAlign w:val="center"/>
          </w:tcPr>
          <w:p w14:paraId="53EBC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2" w:type="dxa"/>
            <w:vAlign w:val="center"/>
          </w:tcPr>
          <w:p w14:paraId="09A59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成本指标</w:t>
            </w:r>
          </w:p>
        </w:tc>
        <w:tc>
          <w:tcPr>
            <w:tcW w:w="2455" w:type="dxa"/>
            <w:vAlign w:val="center"/>
          </w:tcPr>
          <w:p w14:paraId="5D62F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支出投资/批复投资</w:t>
            </w:r>
          </w:p>
        </w:tc>
        <w:tc>
          <w:tcPr>
            <w:tcW w:w="1825" w:type="dxa"/>
            <w:vAlign w:val="center"/>
          </w:tcPr>
          <w:p w14:paraId="1F8C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E75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5596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16B4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7DEBDB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效益指标</w:t>
            </w:r>
          </w:p>
        </w:tc>
        <w:tc>
          <w:tcPr>
            <w:tcW w:w="1152" w:type="dxa"/>
            <w:vAlign w:val="center"/>
          </w:tcPr>
          <w:p w14:paraId="4F3A4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经济效益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指标</w:t>
            </w:r>
          </w:p>
        </w:tc>
        <w:tc>
          <w:tcPr>
            <w:tcW w:w="2455" w:type="dxa"/>
            <w:vAlign w:val="center"/>
          </w:tcPr>
          <w:p w14:paraId="34883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根据项目实际据实填写</w:t>
            </w:r>
          </w:p>
          <w:p w14:paraId="7A126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（可定性表述）</w:t>
            </w:r>
          </w:p>
        </w:tc>
        <w:tc>
          <w:tcPr>
            <w:tcW w:w="1825" w:type="dxa"/>
            <w:vAlign w:val="center"/>
          </w:tcPr>
          <w:p w14:paraId="6B41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BA5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3C86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387B8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Merge w:val="continue"/>
            <w:vAlign w:val="center"/>
          </w:tcPr>
          <w:p w14:paraId="2B5BB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2" w:type="dxa"/>
            <w:vAlign w:val="center"/>
          </w:tcPr>
          <w:p w14:paraId="41EAE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社会效益      指标</w:t>
            </w:r>
          </w:p>
        </w:tc>
        <w:tc>
          <w:tcPr>
            <w:tcW w:w="2455" w:type="dxa"/>
            <w:vAlign w:val="center"/>
          </w:tcPr>
          <w:p w14:paraId="11F87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根据项目实际据实填写</w:t>
            </w:r>
          </w:p>
          <w:p w14:paraId="4D6F3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（可定性表述）</w:t>
            </w:r>
          </w:p>
        </w:tc>
        <w:tc>
          <w:tcPr>
            <w:tcW w:w="1825" w:type="dxa"/>
            <w:vAlign w:val="center"/>
          </w:tcPr>
          <w:p w14:paraId="74D5E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8D4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38219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2143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Merge w:val="continue"/>
            <w:vAlign w:val="center"/>
          </w:tcPr>
          <w:p w14:paraId="7988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2" w:type="dxa"/>
            <w:vAlign w:val="center"/>
          </w:tcPr>
          <w:p w14:paraId="299E5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生态效益    指标</w:t>
            </w:r>
          </w:p>
        </w:tc>
        <w:tc>
          <w:tcPr>
            <w:tcW w:w="2455" w:type="dxa"/>
            <w:vAlign w:val="center"/>
          </w:tcPr>
          <w:p w14:paraId="72164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根据项目实际据实填写</w:t>
            </w:r>
          </w:p>
          <w:p w14:paraId="2836A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（可定性表述）</w:t>
            </w:r>
          </w:p>
        </w:tc>
        <w:tc>
          <w:tcPr>
            <w:tcW w:w="1825" w:type="dxa"/>
            <w:vAlign w:val="center"/>
          </w:tcPr>
          <w:p w14:paraId="0D922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71F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2B289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4601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Merge w:val="continue"/>
            <w:vAlign w:val="center"/>
          </w:tcPr>
          <w:p w14:paraId="4B57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52" w:type="dxa"/>
            <w:vAlign w:val="center"/>
          </w:tcPr>
          <w:p w14:paraId="04589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可持续影响   指标</w:t>
            </w:r>
          </w:p>
        </w:tc>
        <w:tc>
          <w:tcPr>
            <w:tcW w:w="2455" w:type="dxa"/>
            <w:vAlign w:val="center"/>
          </w:tcPr>
          <w:p w14:paraId="7157F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根据项目实际据实填写</w:t>
            </w:r>
          </w:p>
          <w:p w14:paraId="388FA5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（可定性表述）</w:t>
            </w:r>
          </w:p>
        </w:tc>
        <w:tc>
          <w:tcPr>
            <w:tcW w:w="1825" w:type="dxa"/>
            <w:vAlign w:val="center"/>
          </w:tcPr>
          <w:p w14:paraId="09D76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7B9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0AF5F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4FF7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Align w:val="center"/>
          </w:tcPr>
          <w:p w14:paraId="7D5FB7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满意度指标</w:t>
            </w:r>
          </w:p>
        </w:tc>
        <w:tc>
          <w:tcPr>
            <w:tcW w:w="1152" w:type="dxa"/>
            <w:vAlign w:val="center"/>
          </w:tcPr>
          <w:p w14:paraId="01EFF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服务对象满意度指标</w:t>
            </w:r>
          </w:p>
        </w:tc>
        <w:tc>
          <w:tcPr>
            <w:tcW w:w="2455" w:type="dxa"/>
            <w:vAlign w:val="center"/>
          </w:tcPr>
          <w:p w14:paraId="1AB9E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每个项目投诉次数</w:t>
            </w:r>
          </w:p>
        </w:tc>
        <w:tc>
          <w:tcPr>
            <w:tcW w:w="1825" w:type="dxa"/>
            <w:vAlign w:val="center"/>
          </w:tcPr>
          <w:p w14:paraId="23C8A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E1B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78409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restart"/>
            <w:vAlign w:val="center"/>
          </w:tcPr>
          <w:p w14:paraId="1F85E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过程管理指标</w:t>
            </w:r>
          </w:p>
        </w:tc>
        <w:tc>
          <w:tcPr>
            <w:tcW w:w="1353" w:type="dxa"/>
            <w:vMerge w:val="restart"/>
            <w:vAlign w:val="center"/>
          </w:tcPr>
          <w:p w14:paraId="6F58C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计划管理指标</w:t>
            </w:r>
          </w:p>
        </w:tc>
        <w:tc>
          <w:tcPr>
            <w:tcW w:w="3607" w:type="dxa"/>
            <w:gridSpan w:val="2"/>
            <w:vAlign w:val="center"/>
          </w:tcPr>
          <w:p w14:paraId="29C07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投资计划分解（转发）用时</w:t>
            </w:r>
          </w:p>
        </w:tc>
        <w:tc>
          <w:tcPr>
            <w:tcW w:w="1825" w:type="dxa"/>
            <w:vAlign w:val="center"/>
          </w:tcPr>
          <w:p w14:paraId="1C7E9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≤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个工作日</w:t>
            </w:r>
          </w:p>
        </w:tc>
      </w:tr>
      <w:tr w14:paraId="7DF4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347E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6F5A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Merge w:val="continue"/>
            <w:vAlign w:val="center"/>
          </w:tcPr>
          <w:p w14:paraId="18DCE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097B6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“两个责任”按项目落实到位率</w:t>
            </w:r>
          </w:p>
        </w:tc>
        <w:tc>
          <w:tcPr>
            <w:tcW w:w="1825" w:type="dxa"/>
            <w:vAlign w:val="center"/>
          </w:tcPr>
          <w:p w14:paraId="2CAF9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≥95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</w:tr>
      <w:tr w14:paraId="45F7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57D3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1E1E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391EA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资金管理指标</w:t>
            </w:r>
          </w:p>
        </w:tc>
        <w:tc>
          <w:tcPr>
            <w:tcW w:w="3607" w:type="dxa"/>
            <w:gridSpan w:val="2"/>
            <w:vAlign w:val="center"/>
          </w:tcPr>
          <w:p w14:paraId="1B3358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中央预算内投资支付率</w:t>
            </w:r>
          </w:p>
        </w:tc>
        <w:tc>
          <w:tcPr>
            <w:tcW w:w="1825" w:type="dxa"/>
            <w:vAlign w:val="center"/>
          </w:tcPr>
          <w:p w14:paraId="05672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≥65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</w:tr>
      <w:tr w14:paraId="655BB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563C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5149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Merge w:val="continue"/>
            <w:vAlign w:val="center"/>
          </w:tcPr>
          <w:p w14:paraId="1402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52254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年度计划投资完成率</w:t>
            </w:r>
          </w:p>
        </w:tc>
        <w:tc>
          <w:tcPr>
            <w:tcW w:w="1825" w:type="dxa"/>
            <w:vAlign w:val="center"/>
          </w:tcPr>
          <w:p w14:paraId="32703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≥80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</w:tr>
      <w:tr w14:paraId="3857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4831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20DEB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Merge w:val="restart"/>
            <w:vAlign w:val="center"/>
          </w:tcPr>
          <w:p w14:paraId="05E18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项目管理指标</w:t>
            </w:r>
          </w:p>
        </w:tc>
        <w:tc>
          <w:tcPr>
            <w:tcW w:w="3607" w:type="dxa"/>
            <w:gridSpan w:val="2"/>
            <w:vAlign w:val="center"/>
          </w:tcPr>
          <w:p w14:paraId="78B46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项目开工率</w:t>
            </w:r>
          </w:p>
        </w:tc>
        <w:tc>
          <w:tcPr>
            <w:tcW w:w="1825" w:type="dxa"/>
            <w:vAlign w:val="center"/>
          </w:tcPr>
          <w:p w14:paraId="6C07B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≥90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%</w:t>
            </w:r>
          </w:p>
        </w:tc>
      </w:tr>
      <w:tr w14:paraId="24DE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7130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74B79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Merge w:val="continue"/>
            <w:vAlign w:val="center"/>
          </w:tcPr>
          <w:p w14:paraId="29D56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607" w:type="dxa"/>
            <w:gridSpan w:val="2"/>
            <w:vAlign w:val="center"/>
          </w:tcPr>
          <w:p w14:paraId="58A70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超规模、超标准、超概算项目比例</w:t>
            </w:r>
          </w:p>
        </w:tc>
        <w:tc>
          <w:tcPr>
            <w:tcW w:w="1825" w:type="dxa"/>
            <w:vAlign w:val="center"/>
          </w:tcPr>
          <w:p w14:paraId="2B64C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≤10%</w:t>
            </w:r>
          </w:p>
        </w:tc>
      </w:tr>
      <w:tr w14:paraId="5DD7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6" w:type="dxa"/>
            <w:vMerge w:val="continue"/>
            <w:vAlign w:val="center"/>
          </w:tcPr>
          <w:p w14:paraId="629F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3935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53" w:type="dxa"/>
            <w:vAlign w:val="center"/>
          </w:tcPr>
          <w:p w14:paraId="40DB5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监督检查指标</w:t>
            </w:r>
          </w:p>
        </w:tc>
        <w:tc>
          <w:tcPr>
            <w:tcW w:w="3607" w:type="dxa"/>
            <w:gridSpan w:val="2"/>
            <w:vAlign w:val="center"/>
          </w:tcPr>
          <w:p w14:paraId="6DE2C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审计、督察、巡视等指出问题项目比例</w:t>
            </w:r>
          </w:p>
        </w:tc>
        <w:tc>
          <w:tcPr>
            <w:tcW w:w="1825" w:type="dxa"/>
            <w:vAlign w:val="center"/>
          </w:tcPr>
          <w:p w14:paraId="3CDFC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≤1%</w:t>
            </w:r>
          </w:p>
        </w:tc>
      </w:tr>
      <w:tr w14:paraId="5E66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58" w:type="dxa"/>
            <w:gridSpan w:val="6"/>
            <w:vAlign w:val="center"/>
          </w:tcPr>
          <w:p w14:paraId="4D872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备注：1.年度投资完成率指根据项目建设进度，本年度实际完成投资与年度计划完成投资的比值。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2.可根据指标数量调整表格行数。</w:t>
            </w:r>
          </w:p>
        </w:tc>
      </w:tr>
    </w:tbl>
    <w:p w14:paraId="701E6D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44558B-D127-43FB-A9C1-4CAD9C0BCE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F5EA3CC-C785-4CC0-B43A-512F6A0C07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18F81D2-CA7A-4E09-9633-3CE5863EBF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ThhZWVhZTdmNmU0MmU4MTNiOTc3NGQyMDUwMDIifQ=="/>
  </w:docVars>
  <w:rsids>
    <w:rsidRoot w:val="06662FC1"/>
    <w:rsid w:val="0666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6">
    <w:name w:val=" Char Char Char Char Char Char"/>
    <w:basedOn w:val="1"/>
    <w:qFormat/>
    <w:uiPriority w:val="0"/>
    <w:pPr>
      <w:widowControl/>
      <w:spacing w:after="160" w:line="240" w:lineRule="exact"/>
      <w:jc w:val="left"/>
    </w:pPr>
    <w:rPr>
      <w:snapToGrid w:val="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2024-08-29T09:15:00Z</dcterms:created>
  <dc:creator>Regen</dc:creator>
  <cp:lastModifiedBy>Regen</cp:lastModifiedBy>
  <dcterms:modified xsi:type="dcterms:W3CDTF">2024-08-29T09:15:57Z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A1866EFF743B436A97464329F3E468A6_11</vt:lpwstr>
  </property>
</Properties>
</file>