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A8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附件1</w:t>
      </w:r>
    </w:p>
    <w:p w14:paraId="50830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/>
        <w:jc w:val="center"/>
        <w:textAlignment w:val="auto"/>
        <w:rPr>
          <w:rFonts w:ascii="Times New Roman" w:hAnsi="Times New Roman" w:eastAsia="宋体" w:cs="Times New Roman"/>
          <w:b/>
          <w:sz w:val="36"/>
          <w:szCs w:val="20"/>
          <w:lang w:val="en-US" w:eastAsia="zh-CN" w:bidi="ar-SA"/>
        </w:rPr>
      </w:pPr>
      <w:r>
        <w:rPr>
          <w:rFonts w:ascii="Times New Roman" w:hAnsi="Times New Roman" w:eastAsia="宋体" w:cs="Times New Roman"/>
          <w:b/>
          <w:sz w:val="36"/>
          <w:szCs w:val="20"/>
          <w:lang w:val="en-US" w:eastAsia="zh-CN" w:bidi="ar-SA"/>
        </w:rPr>
        <w:t>青年理论学术带头人“揭榜挂帅”项目榜</w:t>
      </w:r>
    </w:p>
    <w:p w14:paraId="65AC79F4">
      <w:pPr>
        <w:widowControl w:val="0"/>
        <w:snapToGrid w:val="0"/>
        <w:spacing w:after="0" w:line="360" w:lineRule="auto"/>
        <w:ind w:left="960" w:leftChars="400" w:firstLine="0" w:firstLineChars="0"/>
        <w:jc w:val="center"/>
        <w:rPr>
          <w:rFonts w:ascii="Times New Roman" w:hAnsi="Times New Roman" w:eastAsia="楷体" w:cs="Times New Roman"/>
          <w:kern w:val="2"/>
          <w:sz w:val="30"/>
          <w:szCs w:val="30"/>
          <w:lang w:val="en-US" w:eastAsia="zh-CN" w:bidi="ar-SA"/>
        </w:rPr>
      </w:pPr>
      <w:r>
        <w:rPr>
          <w:rFonts w:ascii="Times New Roman" w:hAnsi="Times New Roman" w:eastAsia="楷体" w:cs="Times New Roman"/>
          <w:kern w:val="2"/>
          <w:sz w:val="30"/>
          <w:szCs w:val="30"/>
          <w:lang w:val="en-US" w:eastAsia="zh-CN" w:bidi="ar-SA"/>
        </w:rPr>
        <w:t>（共</w:t>
      </w:r>
      <w:r>
        <w:rPr>
          <w:rFonts w:hint="eastAsia" w:ascii="Times New Roman" w:hAnsi="Times New Roman" w:eastAsia="楷体" w:cs="Times New Roman"/>
          <w:kern w:val="2"/>
          <w:sz w:val="30"/>
          <w:szCs w:val="30"/>
          <w:lang w:val="en-US" w:eastAsia="zh-CN" w:bidi="ar-SA"/>
        </w:rPr>
        <w:t>18</w:t>
      </w:r>
      <w:r>
        <w:rPr>
          <w:rFonts w:ascii="Times New Roman" w:hAnsi="Times New Roman" w:eastAsia="楷体" w:cs="Times New Roman"/>
          <w:kern w:val="2"/>
          <w:sz w:val="30"/>
          <w:szCs w:val="30"/>
          <w:lang w:val="en-US" w:eastAsia="zh-CN" w:bidi="ar-SA"/>
        </w:rPr>
        <w:t>个）</w:t>
      </w:r>
    </w:p>
    <w:tbl>
      <w:tblPr>
        <w:tblStyle w:val="3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017"/>
      </w:tblGrid>
      <w:tr w14:paraId="7BBF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56" w:type="dxa"/>
            <w:vAlign w:val="center"/>
          </w:tcPr>
          <w:p w14:paraId="70D571AC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8017" w:type="dxa"/>
            <w:vAlign w:val="center"/>
          </w:tcPr>
          <w:p w14:paraId="2F90DAC5">
            <w:pPr>
              <w:widowControl w:val="0"/>
              <w:adjustRightInd w:val="0"/>
              <w:snapToGrid w:val="0"/>
              <w:ind w:firstLine="480"/>
              <w:jc w:val="center"/>
              <w:rPr>
                <w:rFonts w:ascii="Times New Roman" w:hAnsi="Times New Roman" w:eastAsia="宋体" w:cs="Times New Roman"/>
                <w:b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  <w:lang w:val="en-US" w:eastAsia="zh-CN" w:bidi="ar-SA"/>
              </w:rPr>
              <w:t>项目名称</w:t>
            </w:r>
          </w:p>
        </w:tc>
      </w:tr>
      <w:tr w14:paraId="487D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6" w:type="dxa"/>
            <w:vAlign w:val="center"/>
          </w:tcPr>
          <w:p w14:paraId="4276728F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550BC9CE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8"/>
                <w:szCs w:val="28"/>
                <w:lang w:val="en-US" w:eastAsia="zh-CN" w:bidi="ar-SA"/>
              </w:rPr>
              <w:t>中华文化主体性的学理阐释与体系构建研究</w:t>
            </w:r>
          </w:p>
        </w:tc>
      </w:tr>
      <w:tr w14:paraId="4325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" w:type="dxa"/>
            <w:vAlign w:val="center"/>
          </w:tcPr>
          <w:p w14:paraId="7A26B84A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3E0A86B2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8"/>
                <w:szCs w:val="28"/>
                <w:lang w:val="en-US" w:eastAsia="zh-CN" w:bidi="ar-SA"/>
              </w:rPr>
              <w:t>新质生产力与区域经济高质量发展研究</w:t>
            </w:r>
          </w:p>
        </w:tc>
      </w:tr>
      <w:tr w14:paraId="7780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56" w:type="dxa"/>
            <w:vAlign w:val="center"/>
          </w:tcPr>
          <w:p w14:paraId="2E08A33B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0C0E77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经济大省挑大梁的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广东实践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经验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研究</w:t>
            </w:r>
          </w:p>
        </w:tc>
      </w:tr>
      <w:tr w14:paraId="04F0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56" w:type="dxa"/>
            <w:vAlign w:val="center"/>
          </w:tcPr>
          <w:p w14:paraId="02123D02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646F6D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促进城乡融合和区域协调联动发展的机制创新研究</w:t>
            </w:r>
          </w:p>
        </w:tc>
      </w:tr>
      <w:tr w14:paraId="1572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56" w:type="dxa"/>
            <w:vAlign w:val="center"/>
          </w:tcPr>
          <w:p w14:paraId="4A92E1C2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629F82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eastAsia="宋体"/>
                <w:b w:val="0"/>
                <w:bCs/>
                <w:sz w:val="28"/>
                <w:szCs w:val="28"/>
                <w:lang w:val="en-US" w:eastAsia="zh-CN"/>
              </w:rPr>
              <w:t>以文化赋能“百千万工程”研究</w:t>
            </w:r>
          </w:p>
        </w:tc>
      </w:tr>
      <w:tr w14:paraId="12F9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56" w:type="dxa"/>
            <w:vAlign w:val="center"/>
          </w:tcPr>
          <w:p w14:paraId="2766517E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5C20D0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乡村全面振兴提质增效的机制路径研究</w:t>
            </w:r>
          </w:p>
        </w:tc>
      </w:tr>
      <w:tr w14:paraId="74CB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56" w:type="dxa"/>
            <w:vAlign w:val="center"/>
          </w:tcPr>
          <w:p w14:paraId="42ADC698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4E8B02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构建以先进制造业为骨干的现代化产业体系研究</w:t>
            </w:r>
          </w:p>
        </w:tc>
      </w:tr>
      <w:tr w14:paraId="0FA8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6" w:type="dxa"/>
            <w:vAlign w:val="center"/>
          </w:tcPr>
          <w:p w14:paraId="3AC56D66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311222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eastAsia="宋体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推动制造业与生产性服务业深度融合发展研究</w:t>
            </w:r>
          </w:p>
        </w:tc>
      </w:tr>
      <w:tr w14:paraId="5BF3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56" w:type="dxa"/>
            <w:vAlign w:val="center"/>
          </w:tcPr>
          <w:p w14:paraId="0B5A2AE2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4AAE606A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巩固提升粤港澳大湾区高质量发展动力源作用研究</w:t>
            </w:r>
          </w:p>
        </w:tc>
      </w:tr>
      <w:tr w14:paraId="0B11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56" w:type="dxa"/>
            <w:vAlign w:val="center"/>
          </w:tcPr>
          <w:p w14:paraId="49ABD2E1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4C4F7628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提升粤港澳大湾区市场一体化水平研究</w:t>
            </w:r>
          </w:p>
        </w:tc>
      </w:tr>
      <w:tr w14:paraId="50CB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56" w:type="dxa"/>
            <w:vAlign w:val="center"/>
          </w:tcPr>
          <w:p w14:paraId="4B20E19C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27EF222F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广东推进全民阅读和书香社会建设研究</w:t>
            </w:r>
          </w:p>
        </w:tc>
      </w:tr>
      <w:tr w14:paraId="2D1D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56" w:type="dxa"/>
            <w:vAlign w:val="center"/>
          </w:tcPr>
          <w:p w14:paraId="0CDE04AE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251C52D3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b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加快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岭南文化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IP系统性开发</w:t>
            </w:r>
            <w:r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研究</w:t>
            </w:r>
          </w:p>
        </w:tc>
      </w:tr>
      <w:tr w14:paraId="0E68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" w:type="dxa"/>
            <w:vAlign w:val="center"/>
          </w:tcPr>
          <w:p w14:paraId="579072CE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3B20E633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z w:val="28"/>
                <w:szCs w:val="28"/>
                <w:lang w:val="en-US" w:eastAsia="zh-CN" w:bidi="ar-SA"/>
              </w:rPr>
              <w:t>加快未成年人思想道德建设</w:t>
            </w:r>
            <w:r>
              <w:rPr>
                <w:rFonts w:hint="eastAsia" w:ascii="Times New Roman" w:hAnsi="Times New Roman" w:eastAsia="宋体" w:cs="Times New Roman"/>
                <w:b w:val="0"/>
                <w:sz w:val="28"/>
                <w:szCs w:val="28"/>
                <w:lang w:val="en-US" w:eastAsia="zh-CN" w:bidi="ar-SA"/>
              </w:rPr>
              <w:t>研究</w:t>
            </w:r>
          </w:p>
        </w:tc>
      </w:tr>
      <w:tr w14:paraId="69E6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6" w:type="dxa"/>
            <w:vAlign w:val="center"/>
          </w:tcPr>
          <w:p w14:paraId="59F7624F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57ED73E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ascii="Calibri" w:hAnsi="Calibri" w:eastAsia="宋体" w:cs="Times New Roman"/>
                <w:b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kern w:val="0"/>
                <w:sz w:val="28"/>
                <w:szCs w:val="28"/>
                <w:lang w:val="en-US" w:eastAsia="zh-CN" w:bidi="ar"/>
              </w:rPr>
              <w:t>数字文化产业新场景新模式升级研究</w:t>
            </w:r>
          </w:p>
        </w:tc>
      </w:tr>
      <w:tr w14:paraId="3BE2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56" w:type="dxa"/>
            <w:vAlign w:val="center"/>
          </w:tcPr>
          <w:p w14:paraId="3BFAB062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170593DC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b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广东与东盟产业链深度协同研究</w:t>
            </w:r>
          </w:p>
        </w:tc>
      </w:tr>
      <w:tr w14:paraId="1139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56" w:type="dxa"/>
            <w:vAlign w:val="center"/>
          </w:tcPr>
          <w:p w14:paraId="721E3E9C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15D42E54">
            <w:pPr>
              <w:widowControl w:val="0"/>
              <w:adjustRightInd w:val="0"/>
              <w:snapToGrid w:val="0"/>
              <w:ind w:left="0" w:leftChars="0" w:firstLine="0" w:firstLineChars="0"/>
              <w:jc w:val="both"/>
              <w:rPr>
                <w:rFonts w:ascii="Times New Roman" w:hAnsi="Times New Roman" w:eastAsia="宋体" w:cs="Times New Roman"/>
                <w:b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8"/>
                <w:szCs w:val="28"/>
                <w:lang w:val="en-US" w:eastAsia="zh-CN" w:bidi="ar-SA"/>
              </w:rPr>
              <w:t>加强粤港澳大湾区与海南自由贸易港建设协同联动研究</w:t>
            </w:r>
          </w:p>
        </w:tc>
      </w:tr>
      <w:tr w14:paraId="4C16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56" w:type="dxa"/>
            <w:vAlign w:val="center"/>
          </w:tcPr>
          <w:p w14:paraId="3161C48A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2DDE4B35">
            <w:pPr>
              <w:keepNext w:val="0"/>
              <w:keepLines w:val="0"/>
              <w:widowControl w:val="0"/>
              <w:suppressLineNumbers w:val="0"/>
              <w:adjustRightInd w:val="0"/>
              <w:ind w:left="0" w:leftChars="0" w:firstLine="0" w:firstLineChars="0"/>
              <w:jc w:val="both"/>
              <w:rPr>
                <w:rFonts w:hint="eastAsia" w:ascii="Times New Roman" w:hAnsi="Times New Roman" w:eastAsia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8"/>
                <w:szCs w:val="28"/>
                <w:lang w:val="en-US" w:eastAsia="zh-CN" w:bidi="ar-SA"/>
              </w:rPr>
              <w:t>广东推进新时代全民国防教育高质量发展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 w:bidi="ar-SA"/>
              </w:rPr>
              <w:t>研究</w:t>
            </w:r>
          </w:p>
        </w:tc>
      </w:tr>
      <w:tr w14:paraId="0E8F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56" w:type="dxa"/>
            <w:vAlign w:val="center"/>
          </w:tcPr>
          <w:p w14:paraId="61F09A47">
            <w:pPr>
              <w:widowControl w:val="0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8017" w:type="dxa"/>
            <w:tcBorders>
              <w:left w:val="single" w:color="auto" w:sz="4" w:space="0"/>
            </w:tcBorders>
            <w:vAlign w:val="center"/>
          </w:tcPr>
          <w:p w14:paraId="5F2DC7BC">
            <w:pPr>
              <w:keepNext w:val="0"/>
              <w:keepLines w:val="0"/>
              <w:widowControl w:val="0"/>
              <w:suppressLineNumbers w:val="0"/>
              <w:adjustRightInd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8"/>
                <w:szCs w:val="28"/>
                <w:lang w:val="en-US" w:eastAsia="zh-CN" w:bidi="ar-SA"/>
              </w:rPr>
              <w:t>“绿美广东”背景下公众绿色生产生活方式培育研究</w:t>
            </w:r>
          </w:p>
        </w:tc>
      </w:tr>
    </w:tbl>
    <w:p w14:paraId="47E8ACA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443F"/>
    <w:rsid w:val="04D56448"/>
    <w:rsid w:val="06523803"/>
    <w:rsid w:val="0B710ED5"/>
    <w:rsid w:val="158F4B02"/>
    <w:rsid w:val="187F0184"/>
    <w:rsid w:val="1C5E7C2F"/>
    <w:rsid w:val="36E33D11"/>
    <w:rsid w:val="3D604C38"/>
    <w:rsid w:val="457E4334"/>
    <w:rsid w:val="48F055E1"/>
    <w:rsid w:val="4E130480"/>
    <w:rsid w:val="57F468B8"/>
    <w:rsid w:val="5F93445D"/>
    <w:rsid w:val="601D7A3F"/>
    <w:rsid w:val="610F0176"/>
    <w:rsid w:val="6DB1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46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xyq-标题"/>
    <w:next w:val="1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b/>
      <w:sz w:val="36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389</Characters>
  <Lines>0</Lines>
  <Paragraphs>0</Paragraphs>
  <TotalTime>32</TotalTime>
  <ScaleCrop>false</ScaleCrop>
  <LinksUpToDate>false</LinksUpToDate>
  <CharactersWithSpaces>389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2026-01-19T09:36:00Z</dcterms:created>
  <dc:creator>ThinkPad</dc:creator>
  <cp:lastModifiedBy>CH</cp:lastModifiedBy>
  <dcterms:modified xsi:type="dcterms:W3CDTF">2026-01-28T02:33:49Z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eyJoZGlkIjoiYjEwMGUxMWFhZjM5NGYyYjk0Y2MzODk4MWU5MGZkNzQiLCJ1c2VySWQiOiI2NjA3NjA5MDIifQ==</vt:lpwstr>
  </property>
  <property fmtid="{D5CDD505-2E9C-101B-9397-08002B2CF9AE}" pid="4" name="ICV">
    <vt:lpwstr>BC1BC429A16D4FA79D211BC3172B748C_12</vt:lpwstr>
  </property>
</Properties>
</file>