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1D44E">
      <w:pPr>
        <w:widowControl w:val="0"/>
        <w:adjustRightInd w:val="0"/>
        <w:snapToGrid w:val="0"/>
        <w:spacing w:line="360" w:lineRule="auto"/>
        <w:jc w:val="both"/>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附件1</w:t>
      </w:r>
    </w:p>
    <w:p w14:paraId="01FA75F4">
      <w:pPr>
        <w:widowControl w:val="0"/>
        <w:adjustRightInd w:val="0"/>
        <w:snapToGrid w:val="0"/>
        <w:spacing w:line="360" w:lineRule="auto"/>
        <w:jc w:val="center"/>
        <w:rPr>
          <w:rFonts w:hint="eastAsia" w:ascii="方正公文小标宋" w:hAnsi="方正公文小标宋" w:eastAsia="方正公文小标宋" w:cs="方正公文小标宋"/>
          <w:b w:val="0"/>
          <w:bCs w:val="0"/>
          <w:sz w:val="44"/>
          <w:szCs w:val="36"/>
          <w:lang w:val="en-US" w:eastAsia="zh-CN"/>
        </w:rPr>
      </w:pPr>
      <w:bookmarkStart w:id="0" w:name="OLE_LINK4"/>
      <w:r>
        <w:rPr>
          <w:rFonts w:hint="eastAsia" w:ascii="方正公文小标宋" w:hAnsi="方正公文小标宋" w:eastAsia="方正公文小标宋" w:cs="方正公文小标宋"/>
          <w:b w:val="0"/>
          <w:bCs w:val="0"/>
          <w:sz w:val="44"/>
          <w:szCs w:val="36"/>
        </w:rPr>
        <w:t>广东省重点实验室管理</w:t>
      </w:r>
      <w:r>
        <w:rPr>
          <w:rFonts w:hint="eastAsia" w:ascii="方正公文小标宋" w:hAnsi="方正公文小标宋" w:eastAsia="方正公文小标宋" w:cs="方正公文小标宋"/>
          <w:b w:val="0"/>
          <w:bCs w:val="0"/>
          <w:sz w:val="44"/>
          <w:szCs w:val="36"/>
          <w:lang w:val="en-US" w:eastAsia="zh-CN"/>
        </w:rPr>
        <w:t>实施细则</w:t>
      </w:r>
    </w:p>
    <w:p w14:paraId="16EF6541">
      <w:pPr>
        <w:widowControl w:val="0"/>
        <w:adjustRightInd w:val="0"/>
        <w:snapToGrid w:val="0"/>
        <w:spacing w:line="360" w:lineRule="auto"/>
        <w:jc w:val="center"/>
        <w:rPr>
          <w:rFonts w:hint="eastAsia" w:ascii="方正公文小标宋" w:hAnsi="方正公文小标宋" w:eastAsia="方正公文小标宋" w:cs="方正公文小标宋"/>
          <w:b w:val="0"/>
          <w:bCs w:val="0"/>
          <w:sz w:val="44"/>
          <w:szCs w:val="36"/>
        </w:rPr>
      </w:pPr>
      <w:r>
        <w:rPr>
          <w:rFonts w:hint="eastAsia" w:ascii="方正公文小标宋" w:hAnsi="方正公文小标宋" w:eastAsia="方正公文小标宋" w:cs="方正公文小标宋"/>
          <w:b w:val="0"/>
          <w:bCs w:val="0"/>
          <w:sz w:val="44"/>
          <w:szCs w:val="36"/>
          <w:lang w:val="en-US" w:eastAsia="zh-CN"/>
        </w:rPr>
        <w:t>（征求意见稿）</w:t>
      </w:r>
      <w:bookmarkEnd w:id="0"/>
    </w:p>
    <w:p w14:paraId="099F29B2">
      <w:pPr>
        <w:pStyle w:val="2"/>
        <w:keepNext w:val="0"/>
        <w:widowControl w:val="0"/>
        <w:adjustRightInd w:val="0"/>
        <w:snapToGrid w:val="0"/>
        <w:spacing w:before="0" w:after="0" w:line="600" w:lineRule="exact"/>
        <w:jc w:val="center"/>
        <w:rPr>
          <w:rFonts w:hint="eastAsia" w:ascii="黑体" w:hAnsi="黑体" w:eastAsia="黑体" w:cs="黑体"/>
          <w:b w:val="0"/>
          <w:bCs/>
          <w:i w:val="0"/>
          <w:iCs/>
          <w:sz w:val="32"/>
          <w:szCs w:val="32"/>
        </w:rPr>
      </w:pPr>
      <w:r>
        <w:rPr>
          <w:rFonts w:hint="eastAsia" w:ascii="黑体" w:hAnsi="黑体" w:eastAsia="黑体" w:cs="黑体"/>
          <w:b w:val="0"/>
          <w:bCs/>
          <w:i w:val="0"/>
          <w:iCs/>
          <w:sz w:val="32"/>
          <w:szCs w:val="32"/>
        </w:rPr>
        <w:t>第一章　总　则</w:t>
      </w:r>
    </w:p>
    <w:p w14:paraId="034FFD78">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第一条</w:t>
      </w:r>
      <w:bookmarkStart w:id="1" w:name="_Hlk35865889"/>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sz w:val="32"/>
          <w:szCs w:val="32"/>
          <w:lang w:val="en-US" w:eastAsia="zh-CN"/>
        </w:rPr>
        <w:t>为</w:t>
      </w:r>
      <w:bookmarkStart w:id="2" w:name="OLE_LINK1"/>
      <w:r>
        <w:rPr>
          <w:rFonts w:hint="eastAsia" w:ascii="仿宋_GB2312" w:hAnsi="仿宋_GB2312" w:eastAsia="仿宋_GB2312" w:cs="仿宋_GB2312"/>
          <w:sz w:val="32"/>
          <w:szCs w:val="32"/>
        </w:rPr>
        <w:t>进一步</w:t>
      </w:r>
      <w:bookmarkEnd w:id="1"/>
      <w:bookmarkStart w:id="3" w:name="_Hlk35865986"/>
      <w:bookmarkStart w:id="4" w:name="_Hlk35865898"/>
      <w:r>
        <w:rPr>
          <w:rFonts w:hint="eastAsia" w:ascii="仿宋_GB2312" w:hAnsi="仿宋_GB2312" w:eastAsia="仿宋_GB2312" w:cs="仿宋_GB2312"/>
          <w:sz w:val="32"/>
          <w:szCs w:val="32"/>
        </w:rPr>
        <w:t>加强和规范广东省重点实验室（以下简称省重点实验室）建设与运行管理</w:t>
      </w:r>
      <w:bookmarkEnd w:id="3"/>
      <w:r>
        <w:rPr>
          <w:rFonts w:hint="eastAsia" w:ascii="仿宋_GB2312" w:hAnsi="仿宋_GB2312" w:eastAsia="仿宋_GB2312" w:cs="仿宋_GB2312"/>
          <w:sz w:val="32"/>
          <w:szCs w:val="32"/>
        </w:rPr>
        <w:t>，扎实推动科技创新与产业创新深度融合，加快推进高水平科技自立自强，</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《广东省科技创新条例》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广东省省级财政专项资金管理办法（修订）》（粤府〔2023〕34号）</w:t>
      </w:r>
      <w:r>
        <w:rPr>
          <w:rFonts w:hint="eastAsia" w:ascii="仿宋_GB2312" w:hAnsi="仿宋_GB2312" w:eastAsia="仿宋_GB2312" w:cs="仿宋_GB2312"/>
          <w:b w:val="0"/>
          <w:bCs w:val="0"/>
          <w:sz w:val="32"/>
          <w:szCs w:val="32"/>
          <w:lang w:eastAsia="zh-CN"/>
        </w:rPr>
        <w:t>、《省级财政科研项目资金管理监督办法（2023年修订）》（粤财规〔2023〕3号）</w:t>
      </w:r>
      <w:r>
        <w:rPr>
          <w:rFonts w:hint="eastAsia" w:ascii="仿宋_GB2312" w:hAnsi="仿宋_GB2312" w:eastAsia="仿宋_GB2312" w:cs="仿宋_GB2312"/>
          <w:sz w:val="32"/>
          <w:szCs w:val="32"/>
          <w:lang w:val="en-US" w:eastAsia="zh-CN"/>
        </w:rPr>
        <w:t>等文件规定</w:t>
      </w:r>
      <w:r>
        <w:rPr>
          <w:rFonts w:hint="eastAsia" w:ascii="仿宋_GB2312" w:hAnsi="仿宋_GB2312" w:eastAsia="仿宋_GB2312" w:cs="仿宋_GB2312"/>
          <w:sz w:val="32"/>
          <w:szCs w:val="32"/>
        </w:rPr>
        <w:t>，</w:t>
      </w:r>
      <w:bookmarkEnd w:id="4"/>
      <w:r>
        <w:rPr>
          <w:rFonts w:hint="eastAsia" w:ascii="仿宋_GB2312" w:hAnsi="仿宋_GB2312" w:eastAsia="仿宋_GB2312" w:cs="仿宋_GB2312"/>
          <w:sz w:val="32"/>
          <w:szCs w:val="32"/>
        </w:rPr>
        <w:t>制订本</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w:t>
      </w:r>
    </w:p>
    <w:bookmarkEnd w:id="2"/>
    <w:p w14:paraId="4366AF16">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第二条</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sz w:val="32"/>
          <w:szCs w:val="32"/>
          <w:lang w:val="en-US" w:eastAsia="zh-CN"/>
        </w:rPr>
        <w:t>细则所称</w:t>
      </w:r>
      <w:r>
        <w:rPr>
          <w:rFonts w:hint="eastAsia" w:ascii="仿宋_GB2312" w:hAnsi="仿宋_GB2312" w:eastAsia="仿宋_GB2312" w:cs="仿宋_GB2312"/>
          <w:sz w:val="32"/>
          <w:szCs w:val="32"/>
        </w:rPr>
        <w:t>省重点实验室是</w:t>
      </w:r>
      <w:r>
        <w:rPr>
          <w:rFonts w:hint="eastAsia" w:ascii="仿宋_GB2312" w:hAnsi="仿宋_GB2312" w:eastAsia="仿宋_GB2312" w:cs="仿宋_GB2312"/>
          <w:sz w:val="32"/>
          <w:szCs w:val="32"/>
          <w:lang w:val="en-US" w:eastAsia="zh-CN"/>
        </w:rPr>
        <w:t>广东省实验室体系的重要组成部分</w:t>
      </w:r>
      <w:r>
        <w:rPr>
          <w:rFonts w:hint="eastAsia" w:ascii="仿宋_GB2312" w:hAnsi="仿宋_GB2312" w:eastAsia="仿宋_GB2312" w:cs="仿宋_GB2312"/>
          <w:sz w:val="32"/>
          <w:szCs w:val="32"/>
        </w:rPr>
        <w:t>，是聚集和培养优秀科技人才、开展基础与应用基础研究、</w:t>
      </w:r>
      <w:r>
        <w:rPr>
          <w:rFonts w:hint="eastAsia" w:ascii="仿宋_GB2312" w:hAnsi="仿宋_GB2312" w:eastAsia="仿宋_GB2312" w:cs="仿宋_GB2312"/>
          <w:kern w:val="2"/>
          <w:sz w:val="32"/>
          <w:szCs w:val="32"/>
          <w:lang w:val="en-US" w:eastAsia="zh-CN"/>
        </w:rPr>
        <w:t>攻克</w:t>
      </w:r>
      <w:r>
        <w:rPr>
          <w:rFonts w:hint="eastAsia" w:ascii="仿宋_GB2312" w:hAnsi="仿宋_GB2312" w:eastAsia="仿宋_GB2312" w:cs="仿宋_GB2312"/>
          <w:color w:val="auto"/>
          <w:kern w:val="0"/>
          <w:sz w:val="32"/>
          <w:szCs w:val="32"/>
          <w:lang w:val="en-US" w:eastAsia="zh-CN"/>
        </w:rPr>
        <w:t>关键</w:t>
      </w:r>
      <w:r>
        <w:rPr>
          <w:rFonts w:hint="eastAsia" w:ascii="仿宋_GB2312" w:hAnsi="仿宋_GB2312" w:eastAsia="仿宋_GB2312" w:cs="仿宋_GB2312"/>
          <w:color w:val="auto"/>
          <w:kern w:val="0"/>
          <w:sz w:val="32"/>
          <w:szCs w:val="32"/>
        </w:rPr>
        <w:t>共性技术</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组织</w:t>
      </w:r>
      <w:r>
        <w:rPr>
          <w:rFonts w:hint="eastAsia" w:ascii="仿宋_GB2312" w:hAnsi="仿宋_GB2312" w:eastAsia="仿宋_GB2312" w:cs="仿宋_GB2312"/>
          <w:color w:val="auto"/>
          <w:kern w:val="0"/>
          <w:sz w:val="32"/>
          <w:szCs w:val="32"/>
        </w:rPr>
        <w:t>高水平学术交流、</w:t>
      </w:r>
      <w:r>
        <w:rPr>
          <w:rFonts w:hint="eastAsia" w:ascii="仿宋_GB2312" w:hAnsi="仿宋_GB2312" w:eastAsia="仿宋_GB2312" w:cs="仿宋_GB2312"/>
          <w:sz w:val="32"/>
          <w:szCs w:val="32"/>
        </w:rPr>
        <w:t>产出原创性科技成果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推进战略性新兴产业与未来产业高质量发展的重要</w:t>
      </w:r>
      <w:r>
        <w:rPr>
          <w:rFonts w:hint="eastAsia" w:ascii="仿宋_GB2312" w:hAnsi="仿宋_GB2312" w:eastAsia="仿宋_GB2312" w:cs="仿宋_GB2312"/>
          <w:color w:val="auto"/>
          <w:kern w:val="0"/>
          <w:sz w:val="32"/>
          <w:szCs w:val="32"/>
          <w:lang w:val="en-US" w:eastAsia="zh-CN"/>
        </w:rPr>
        <w:t>载体</w:t>
      </w:r>
      <w:r>
        <w:rPr>
          <w:rFonts w:hint="eastAsia" w:ascii="仿宋_GB2312" w:hAnsi="仿宋_GB2312" w:eastAsia="仿宋_GB2312" w:cs="仿宋_GB2312"/>
          <w:sz w:val="32"/>
          <w:szCs w:val="32"/>
        </w:rPr>
        <w:t>。</w:t>
      </w:r>
    </w:p>
    <w:p w14:paraId="050C3641">
      <w:pPr>
        <w:widowControl w:val="0"/>
        <w:numPr>
          <w:ilvl w:val="0"/>
          <w:numId w:val="0"/>
        </w:numPr>
        <w:adjustRightInd w:val="0"/>
        <w:snapToGrid w:val="0"/>
        <w:spacing w:line="600" w:lineRule="exact"/>
        <w:ind w:firstLine="643" w:firstLineChars="200"/>
        <w:jc w:val="both"/>
        <w:rPr>
          <w:rFonts w:hint="eastAsia" w:ascii="仿宋_GB2312" w:hAnsi="仿宋_GB2312" w:eastAsia="仿宋_GB2312" w:cs="仿宋_GB2312"/>
          <w:b w:val="0"/>
          <w:bCs w:val="0"/>
          <w:i w:val="0"/>
          <w:iCs w:val="0"/>
          <w:sz w:val="32"/>
          <w:szCs w:val="32"/>
          <w:lang w:val="en-US" w:eastAsia="zh-CN"/>
        </w:rPr>
      </w:pPr>
      <w:bookmarkStart w:id="5" w:name="OLE_LINK2"/>
      <w:r>
        <w:rPr>
          <w:rFonts w:hint="eastAsia" w:ascii="仿宋_GB2312" w:hAnsi="仿宋_GB2312" w:eastAsia="仿宋_GB2312" w:cs="仿宋_GB2312"/>
          <w:b/>
          <w:bCs/>
          <w:i w:val="0"/>
          <w:iCs w:val="0"/>
          <w:sz w:val="32"/>
          <w:szCs w:val="32"/>
          <w:lang w:val="en-US" w:eastAsia="zh-CN"/>
        </w:rPr>
        <w:t>第三条</w:t>
      </w:r>
      <w:bookmarkEnd w:id="5"/>
      <w:r>
        <w:rPr>
          <w:rFonts w:hint="eastAsia" w:ascii="仿宋_GB2312" w:hAnsi="仿宋_GB2312" w:eastAsia="仿宋_GB2312" w:cs="仿宋_GB2312"/>
          <w:b/>
          <w:bCs/>
          <w:i w:val="0"/>
          <w:iCs w:val="0"/>
          <w:sz w:val="32"/>
          <w:szCs w:val="32"/>
          <w:lang w:val="en-US" w:eastAsia="zh-CN"/>
        </w:rPr>
        <w:t xml:space="preserve"> </w:t>
      </w:r>
      <w:r>
        <w:rPr>
          <w:rFonts w:hint="eastAsia" w:ascii="仿宋_GB2312" w:hAnsi="仿宋_GB2312" w:eastAsia="仿宋_GB2312" w:cs="仿宋_GB2312"/>
          <w:sz w:val="32"/>
          <w:szCs w:val="32"/>
          <w:lang w:val="en-US" w:eastAsia="zh-CN"/>
        </w:rPr>
        <w:t>省重点实验室</w:t>
      </w:r>
      <w:r>
        <w:rPr>
          <w:rFonts w:hint="eastAsia" w:ascii="仿宋_GB2312" w:hAnsi="仿宋_GB2312" w:eastAsia="仿宋_GB2312" w:cs="仿宋_GB2312"/>
          <w:sz w:val="32"/>
          <w:szCs w:val="32"/>
        </w:rPr>
        <w:t>主要</w:t>
      </w:r>
      <w:r>
        <w:rPr>
          <w:rFonts w:hint="eastAsia" w:ascii="Times New Roman" w:hAnsi="Times New Roman" w:eastAsia="仿宋_GB2312" w:cs="Times New Roman"/>
          <w:sz w:val="32"/>
          <w:szCs w:val="32"/>
          <w:lang w:val="en-US" w:eastAsia="zh-CN"/>
        </w:rPr>
        <w:t>分为</w:t>
      </w:r>
      <w:r>
        <w:rPr>
          <w:rFonts w:hint="default" w:ascii="Times New Roman" w:hAnsi="Times New Roman" w:eastAsia="仿宋_GB2312" w:cs="Times New Roman"/>
          <w:sz w:val="32"/>
          <w:szCs w:val="32"/>
          <w:lang w:val="en-US" w:eastAsia="zh-CN"/>
        </w:rPr>
        <w:t>基础研究</w:t>
      </w:r>
      <w:r>
        <w:rPr>
          <w:rFonts w:hint="eastAsia" w:ascii="仿宋_GB2312" w:hAnsi="仿宋_GB2312" w:eastAsia="仿宋_GB2312" w:cs="仿宋_GB2312"/>
          <w:sz w:val="32"/>
          <w:szCs w:val="32"/>
          <w:lang w:val="en-US" w:eastAsia="zh-CN"/>
        </w:rPr>
        <w:t>类、技术攻关类。</w:t>
      </w:r>
    </w:p>
    <w:p w14:paraId="1EF061B6">
      <w:pPr>
        <w:widowControl w:val="0"/>
        <w:numPr>
          <w:ilvl w:val="0"/>
          <w:numId w:val="0"/>
        </w:numPr>
        <w:tabs>
          <w:tab w:val="left" w:pos="0"/>
        </w:tabs>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基础研究类省重点实验室</w:t>
      </w:r>
      <w:r>
        <w:rPr>
          <w:rFonts w:hint="eastAsia" w:ascii="仿宋_GB2312" w:hAnsi="仿宋_GB2312" w:eastAsia="仿宋_GB2312" w:cs="仿宋_GB2312"/>
          <w:color w:val="000000"/>
          <w:kern w:val="0"/>
          <w:sz w:val="32"/>
          <w:szCs w:val="32"/>
          <w:lang w:val="en-US" w:eastAsia="zh-CN" w:bidi="ar"/>
        </w:rPr>
        <w:t>立足本领域科技前沿，获取新知识、认识新规律，开辟新的认知疆域；提出新原理、探索新方法，引领核心关键技术突破。</w:t>
      </w:r>
    </w:p>
    <w:p w14:paraId="0757F4B0">
      <w:pPr>
        <w:widowControl w:val="0"/>
        <w:numPr>
          <w:ilvl w:val="0"/>
          <w:numId w:val="0"/>
        </w:numPr>
        <w:tabs>
          <w:tab w:val="left" w:pos="0"/>
        </w:tabs>
        <w:adjustRightInd w:val="0"/>
        <w:snapToGrid w:val="0"/>
        <w:spacing w:line="600" w:lineRule="exact"/>
        <w:ind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sz w:val="32"/>
          <w:szCs w:val="32"/>
        </w:rPr>
        <w:t>（二） 技术攻关类省重点实验室</w:t>
      </w:r>
      <w:r>
        <w:rPr>
          <w:rFonts w:hint="eastAsia" w:ascii="仿宋_GB2312" w:hAnsi="仿宋_GB2312" w:eastAsia="仿宋_GB2312" w:cs="仿宋_GB2312"/>
          <w:color w:val="000000"/>
          <w:sz w:val="32"/>
          <w:szCs w:val="32"/>
          <w:lang w:val="en-US" w:eastAsia="zh-CN"/>
        </w:rPr>
        <w:t>瞄准国家和广东重大战略需求，</w:t>
      </w:r>
      <w:r>
        <w:rPr>
          <w:rFonts w:hint="eastAsia" w:ascii="仿宋_GB2312" w:hAnsi="仿宋_GB2312" w:eastAsia="仿宋_GB2312" w:cs="仿宋_GB2312"/>
          <w:color w:val="000000"/>
          <w:sz w:val="32"/>
          <w:szCs w:val="32"/>
          <w:lang w:val="en-US"/>
        </w:rPr>
        <w:t>加强重点领域技术攻关，</w:t>
      </w:r>
      <w:r>
        <w:rPr>
          <w:rFonts w:hint="eastAsia" w:ascii="仿宋_GB2312" w:hAnsi="仿宋_GB2312" w:eastAsia="仿宋_GB2312" w:cs="仿宋_GB2312"/>
          <w:color w:val="000000"/>
          <w:sz w:val="32"/>
          <w:szCs w:val="32"/>
          <w:lang w:val="en-US" w:eastAsia="zh-CN"/>
        </w:rPr>
        <w:t>推动关键核心技术、关键零部件和重大装备自主可控，</w:t>
      </w:r>
      <w:r>
        <w:rPr>
          <w:rFonts w:hint="eastAsia" w:ascii="仿宋_GB2312" w:hAnsi="仿宋_GB2312" w:eastAsia="仿宋_GB2312" w:cs="仿宋_GB2312"/>
          <w:color w:val="000000"/>
          <w:sz w:val="32"/>
          <w:szCs w:val="32"/>
          <w:lang w:val="en-US"/>
        </w:rPr>
        <w:t>提升自主创新能力和核心竞争力。</w:t>
      </w:r>
    </w:p>
    <w:p w14:paraId="17446D6E">
      <w:pPr>
        <w:widowControl w:val="0"/>
        <w:numPr>
          <w:ilvl w:val="0"/>
          <w:numId w:val="0"/>
        </w:numPr>
        <w:adjustRightInd w:val="0"/>
        <w:snapToGrid w:val="0"/>
        <w:spacing w:line="600" w:lineRule="exact"/>
        <w:ind w:firstLine="640" w:firstLineChars="200"/>
        <w:jc w:val="both"/>
        <w:rPr>
          <w:rFonts w:hint="eastAsia"/>
        </w:rPr>
      </w:pPr>
      <w:r>
        <w:rPr>
          <w:rFonts w:hint="eastAsia" w:ascii="仿宋_GB2312" w:hAnsi="仿宋_GB2312" w:eastAsia="仿宋_GB2312" w:cs="仿宋_GB2312"/>
          <w:kern w:val="0"/>
          <w:sz w:val="32"/>
          <w:szCs w:val="32"/>
        </w:rPr>
        <w:t>面向粤东西北地区，</w:t>
      </w:r>
      <w:r>
        <w:rPr>
          <w:rFonts w:hint="eastAsia" w:ascii="仿宋_GB2312" w:hAnsi="仿宋_GB2312" w:eastAsia="仿宋_GB2312" w:cs="仿宋_GB2312"/>
          <w:color w:val="000000"/>
          <w:sz w:val="32"/>
          <w:szCs w:val="32"/>
          <w:lang w:val="en-US"/>
        </w:rPr>
        <w:t>通过“省市共建、以市为主”方式</w:t>
      </w:r>
      <w:r>
        <w:rPr>
          <w:rFonts w:hint="eastAsia" w:ascii="仿宋_GB2312" w:hAnsi="仿宋_GB2312" w:eastAsia="仿宋_GB2312" w:cs="仿宋_GB2312"/>
          <w:kern w:val="0"/>
          <w:sz w:val="32"/>
          <w:szCs w:val="32"/>
        </w:rPr>
        <w:t>设立省市共建</w:t>
      </w:r>
      <w:r>
        <w:rPr>
          <w:rFonts w:hint="eastAsia" w:ascii="仿宋_GB2312" w:hAnsi="仿宋_GB2312" w:eastAsia="仿宋_GB2312" w:cs="仿宋_GB2312"/>
          <w:kern w:val="0"/>
          <w:sz w:val="32"/>
          <w:szCs w:val="32"/>
          <w:lang w:val="en-US" w:eastAsia="zh-CN"/>
        </w:rPr>
        <w:t>类</w:t>
      </w:r>
      <w:r>
        <w:rPr>
          <w:rFonts w:hint="eastAsia" w:ascii="仿宋_GB2312" w:hAnsi="仿宋_GB2312" w:eastAsia="仿宋_GB2312" w:cs="仿宋_GB2312"/>
          <w:kern w:val="0"/>
          <w:sz w:val="32"/>
          <w:szCs w:val="32"/>
        </w:rPr>
        <w:t>省重点实验室</w:t>
      </w:r>
      <w:r>
        <w:rPr>
          <w:rFonts w:hint="eastAsia" w:ascii="仿宋_GB2312" w:hAnsi="仿宋_GB2312" w:eastAsia="仿宋_GB2312" w:cs="仿宋_GB2312"/>
          <w:kern w:val="0"/>
          <w:sz w:val="32"/>
          <w:szCs w:val="32"/>
          <w:lang w:eastAsia="zh-CN"/>
        </w:rPr>
        <w:t>。</w:t>
      </w:r>
    </w:p>
    <w:p w14:paraId="543FF02B">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w:t>
      </w:r>
      <w:r>
        <w:rPr>
          <w:rFonts w:hint="eastAsia" w:ascii="仿宋_GB2312" w:hAnsi="仿宋_GB2312" w:eastAsia="仿宋_GB2312" w:cs="仿宋_GB2312"/>
          <w:b/>
          <w:bCs w:val="0"/>
          <w:sz w:val="32"/>
          <w:szCs w:val="32"/>
          <w:lang w:val="en-US" w:eastAsia="zh-CN"/>
        </w:rPr>
        <w:t>四</w:t>
      </w:r>
      <w:r>
        <w:rPr>
          <w:rFonts w:hint="eastAsia" w:ascii="仿宋_GB2312" w:hAnsi="仿宋_GB2312" w:eastAsia="仿宋_GB2312" w:cs="仿宋_GB2312"/>
          <w:b/>
          <w:bCs w:val="0"/>
          <w:sz w:val="32"/>
          <w:szCs w:val="32"/>
        </w:rPr>
        <w:t>条</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sz w:val="32"/>
          <w:szCs w:val="32"/>
        </w:rPr>
        <w:t>省重点实验室依托高等院校、科研</w:t>
      </w:r>
      <w:r>
        <w:rPr>
          <w:rFonts w:hint="eastAsia" w:ascii="仿宋_GB2312" w:hAnsi="仿宋_GB2312" w:eastAsia="仿宋_GB2312" w:cs="仿宋_GB2312"/>
          <w:sz w:val="32"/>
          <w:szCs w:val="32"/>
          <w:lang w:val="en-US" w:eastAsia="zh-CN"/>
        </w:rPr>
        <w:t>院所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医疗机构、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val="en-US" w:eastAsia="zh-CN"/>
        </w:rPr>
        <w:t>较强</w:t>
      </w:r>
      <w:r>
        <w:rPr>
          <w:rFonts w:hint="eastAsia" w:ascii="仿宋_GB2312" w:hAnsi="仿宋_GB2312" w:eastAsia="仿宋_GB2312" w:cs="仿宋_GB2312"/>
          <w:sz w:val="32"/>
          <w:szCs w:val="32"/>
        </w:rPr>
        <w:t>科技创新能力的机构建设，实行依托单位领导下的</w:t>
      </w:r>
      <w:r>
        <w:rPr>
          <w:rFonts w:hint="eastAsia" w:ascii="仿宋_GB2312" w:hAnsi="仿宋_GB2312" w:eastAsia="仿宋_GB2312" w:cs="仿宋_GB2312"/>
          <w:sz w:val="32"/>
          <w:szCs w:val="32"/>
          <w:lang w:val="en-US" w:eastAsia="zh-CN"/>
        </w:rPr>
        <w:t>实验室</w:t>
      </w:r>
      <w:r>
        <w:rPr>
          <w:rFonts w:hint="eastAsia" w:ascii="仿宋_GB2312" w:hAnsi="仿宋_GB2312" w:eastAsia="仿宋_GB2312" w:cs="仿宋_GB2312"/>
          <w:sz w:val="32"/>
          <w:szCs w:val="32"/>
        </w:rPr>
        <w:t>主任负责制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在科研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人事等方面</w:t>
      </w:r>
      <w:r>
        <w:rPr>
          <w:rFonts w:hint="eastAsia" w:ascii="仿宋_GB2312" w:hAnsi="仿宋_GB2312" w:eastAsia="仿宋_GB2312" w:cs="仿宋_GB2312"/>
          <w:sz w:val="32"/>
          <w:szCs w:val="32"/>
          <w:lang w:val="en-US" w:eastAsia="zh-CN"/>
        </w:rPr>
        <w:t>具有较高</w:t>
      </w:r>
      <w:r>
        <w:rPr>
          <w:rFonts w:hint="eastAsia" w:ascii="仿宋_GB2312" w:hAnsi="仿宋_GB2312" w:eastAsia="仿宋_GB2312" w:cs="仿宋_GB2312"/>
          <w:sz w:val="32"/>
          <w:szCs w:val="32"/>
        </w:rPr>
        <w:t>自主</w:t>
      </w:r>
      <w:r>
        <w:rPr>
          <w:rFonts w:hint="eastAsia" w:ascii="仿宋_GB2312" w:hAnsi="仿宋_GB2312" w:eastAsia="仿宋_GB2312" w:cs="仿宋_GB2312"/>
          <w:sz w:val="32"/>
          <w:szCs w:val="32"/>
          <w:lang w:val="en-US" w:eastAsia="zh-CN"/>
        </w:rPr>
        <w:t>决策</w:t>
      </w:r>
      <w:r>
        <w:rPr>
          <w:rFonts w:hint="eastAsia" w:ascii="仿宋_GB2312" w:hAnsi="仿宋_GB2312" w:eastAsia="仿宋_GB2312" w:cs="仿宋_GB2312"/>
          <w:sz w:val="32"/>
          <w:szCs w:val="32"/>
        </w:rPr>
        <w:t>权，</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“开放、流动、竞争、协同”的运行机制和“定期考评、动态调整、分类支持”的管理机制。</w:t>
      </w:r>
    </w:p>
    <w:p w14:paraId="48E8E3A8">
      <w:pPr>
        <w:widowControl w:val="0"/>
        <w:numPr>
          <w:ilvl w:val="0"/>
          <w:numId w:val="0"/>
        </w:numPr>
        <w:adjustRightInd w:val="0"/>
        <w:snapToGrid w:val="0"/>
        <w:spacing w:line="60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第五条 </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sz w:val="32"/>
          <w:szCs w:val="32"/>
          <w:lang w:val="en-US" w:eastAsia="zh-CN"/>
        </w:rPr>
        <w:t>细则所称</w:t>
      </w:r>
      <w:r>
        <w:rPr>
          <w:rFonts w:hint="eastAsia" w:ascii="仿宋_GB2312" w:hAnsi="仿宋_GB2312" w:eastAsia="仿宋_GB2312" w:cs="仿宋_GB2312"/>
          <w:b w:val="0"/>
          <w:bCs w:val="0"/>
          <w:sz w:val="32"/>
          <w:szCs w:val="32"/>
          <w:lang w:eastAsia="zh-CN"/>
        </w:rPr>
        <w:t>广东省省级科技专项资金（</w:t>
      </w:r>
      <w:r>
        <w:rPr>
          <w:rFonts w:hint="eastAsia" w:ascii="仿宋_GB2312" w:hAnsi="仿宋_GB2312" w:eastAsia="仿宋_GB2312" w:cs="仿宋_GB2312"/>
          <w:b w:val="0"/>
          <w:bCs w:val="0"/>
          <w:sz w:val="32"/>
          <w:szCs w:val="32"/>
          <w:lang w:val="en-US" w:eastAsia="zh-CN"/>
        </w:rPr>
        <w:t>省重点实验室建设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以下简称“专项</w:t>
      </w:r>
      <w:r>
        <w:rPr>
          <w:rFonts w:hint="eastAsia" w:ascii="仿宋_GB2312" w:hAnsi="仿宋_GB2312" w:eastAsia="仿宋_GB2312" w:cs="仿宋_GB2312"/>
          <w:b w:val="0"/>
          <w:bCs w:val="0"/>
          <w:sz w:val="32"/>
          <w:szCs w:val="32"/>
        </w:rPr>
        <w:t>资金</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是指由省级财政资金预算安排，用于支持省重点实验室建设发展的专项资金。</w:t>
      </w:r>
    </w:p>
    <w:p w14:paraId="1879B024">
      <w:pPr>
        <w:pStyle w:val="2"/>
        <w:keepNext w:val="0"/>
        <w:widowControl w:val="0"/>
        <w:adjustRightInd w:val="0"/>
        <w:snapToGrid w:val="0"/>
        <w:spacing w:before="0" w:after="0" w:line="600" w:lineRule="exact"/>
        <w:jc w:val="center"/>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第二章　职  责</w:t>
      </w:r>
    </w:p>
    <w:p w14:paraId="3166FCFD">
      <w:pPr>
        <w:widowControl w:val="0"/>
        <w:adjustRightInd w:val="0"/>
        <w:snapToGrid w:val="0"/>
        <w:spacing w:line="600" w:lineRule="exact"/>
        <w:ind w:firstLine="660"/>
        <w:jc w:val="both"/>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w:t>
      </w:r>
      <w:r>
        <w:rPr>
          <w:rFonts w:hint="eastAsia" w:ascii="仿宋_GB2312" w:hAnsi="仿宋_GB2312" w:eastAsia="仿宋_GB2312" w:cs="仿宋_GB2312"/>
          <w:b/>
          <w:bCs w:val="0"/>
          <w:sz w:val="32"/>
          <w:szCs w:val="32"/>
          <w:lang w:val="en-US" w:eastAsia="zh-CN"/>
        </w:rPr>
        <w:t>六</w:t>
      </w:r>
      <w:r>
        <w:rPr>
          <w:rFonts w:hint="eastAsia" w:ascii="仿宋_GB2312" w:hAnsi="仿宋_GB2312" w:eastAsia="仿宋_GB2312" w:cs="仿宋_GB2312"/>
          <w:b/>
          <w:bCs w:val="0"/>
          <w:sz w:val="32"/>
          <w:szCs w:val="32"/>
        </w:rPr>
        <w:t>条</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sz w:val="32"/>
          <w:szCs w:val="32"/>
        </w:rPr>
        <w:t>广东省科学技术厅（以下简称省科技厅）是省重点实验室的</w:t>
      </w:r>
      <w:r>
        <w:rPr>
          <w:rFonts w:hint="eastAsia"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主要职责是：</w:t>
      </w:r>
    </w:p>
    <w:p w14:paraId="2CC2F556">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负责省重点实验室建设发展顶层设计和体系布局，编制并实施省重点实验室总体规划和发展计划。</w:t>
      </w:r>
    </w:p>
    <w:p w14:paraId="697AF0BC">
      <w:pPr>
        <w:widowControl w:val="0"/>
        <w:adjustRightInd w:val="0"/>
        <w:snapToGrid w:val="0"/>
        <w:spacing w:line="60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（二）</w:t>
      </w:r>
      <w:r>
        <w:rPr>
          <w:rFonts w:hint="eastAsia" w:ascii="仿宋_GB2312" w:hAnsi="仿宋_GB2312" w:eastAsia="仿宋_GB2312" w:cs="仿宋_GB2312"/>
          <w:sz w:val="32"/>
          <w:szCs w:val="32"/>
          <w:lang w:val="en-US" w:eastAsia="zh-CN"/>
        </w:rPr>
        <w:t xml:space="preserve"> 负责</w:t>
      </w:r>
      <w:r>
        <w:rPr>
          <w:rFonts w:hint="eastAsia" w:ascii="仿宋_GB2312" w:hAnsi="仿宋_GB2312" w:eastAsia="仿宋_GB2312" w:cs="仿宋_GB2312"/>
          <w:sz w:val="32"/>
          <w:szCs w:val="32"/>
        </w:rPr>
        <w:t>省重点实验室</w:t>
      </w:r>
      <w:r>
        <w:rPr>
          <w:rFonts w:hint="eastAsia" w:ascii="仿宋_GB2312" w:hAnsi="仿宋_GB2312" w:eastAsia="仿宋_GB2312" w:cs="仿宋_GB2312"/>
          <w:b w:val="0"/>
          <w:bCs w:val="0"/>
          <w:color w:val="000000"/>
          <w:sz w:val="32"/>
          <w:szCs w:val="32"/>
          <w:lang w:val="en-US" w:eastAsia="zh-CN"/>
        </w:rPr>
        <w:t>指南编制、申请受理</w:t>
      </w:r>
      <w:r>
        <w:rPr>
          <w:rFonts w:hint="eastAsia" w:ascii="仿宋_GB2312" w:hAnsi="仿宋_GB2312" w:eastAsia="仿宋_GB2312" w:cs="仿宋_GB2312"/>
          <w:b w:val="0"/>
          <w:bCs w:val="0"/>
          <w:color w:val="000000"/>
          <w:sz w:val="32"/>
          <w:szCs w:val="32"/>
        </w:rPr>
        <w:t>、评审</w:t>
      </w:r>
      <w:r>
        <w:rPr>
          <w:rFonts w:hint="eastAsia" w:ascii="仿宋_GB2312" w:hAnsi="仿宋_GB2312" w:eastAsia="仿宋_GB2312" w:cs="仿宋_GB2312"/>
          <w:b w:val="0"/>
          <w:bCs w:val="0"/>
          <w:color w:val="000000"/>
          <w:sz w:val="32"/>
          <w:szCs w:val="32"/>
          <w:lang w:val="en-US" w:eastAsia="zh-CN"/>
        </w:rPr>
        <w:t>立项、执行管理、结题验收</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sz w:val="32"/>
          <w:szCs w:val="32"/>
        </w:rPr>
        <w:t>考核评估</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b w:val="0"/>
          <w:bCs w:val="0"/>
          <w:color w:val="000000"/>
          <w:sz w:val="32"/>
          <w:szCs w:val="32"/>
          <w:lang w:val="en-US" w:eastAsia="zh-CN"/>
        </w:rPr>
        <w:t>监督审计</w:t>
      </w:r>
      <w:r>
        <w:rPr>
          <w:rFonts w:hint="eastAsia" w:ascii="仿宋_GB2312" w:hAnsi="仿宋_GB2312" w:eastAsia="仿宋_GB2312" w:cs="仿宋_GB2312"/>
          <w:sz w:val="32"/>
          <w:szCs w:val="32"/>
        </w:rPr>
        <w:t>等</w:t>
      </w:r>
      <w:r>
        <w:rPr>
          <w:rFonts w:hint="eastAsia" w:ascii="仿宋_GB2312" w:hAnsi="仿宋_GB2312" w:eastAsia="仿宋_GB2312" w:cs="仿宋_GB2312"/>
          <w:b w:val="0"/>
          <w:bCs w:val="0"/>
          <w:color w:val="000000"/>
          <w:sz w:val="32"/>
          <w:szCs w:val="32"/>
          <w:lang w:val="en-US" w:eastAsia="zh-CN"/>
        </w:rPr>
        <w:t>全流程管理</w:t>
      </w:r>
      <w:r>
        <w:rPr>
          <w:rFonts w:hint="eastAsia" w:ascii="仿宋_GB2312" w:hAnsi="仿宋_GB2312" w:eastAsia="仿宋_GB2312" w:cs="仿宋_GB2312"/>
          <w:b w:val="0"/>
          <w:bCs w:val="0"/>
          <w:color w:val="000000"/>
          <w:sz w:val="32"/>
          <w:szCs w:val="32"/>
        </w:rPr>
        <w:t>工作</w:t>
      </w:r>
      <w:r>
        <w:rPr>
          <w:rFonts w:hint="eastAsia" w:ascii="仿宋_GB2312" w:hAnsi="仿宋_GB2312" w:eastAsia="仿宋_GB2312" w:cs="仿宋_GB2312"/>
          <w:sz w:val="32"/>
          <w:szCs w:val="32"/>
          <w:lang w:eastAsia="zh-CN"/>
        </w:rPr>
        <w:t>。</w:t>
      </w:r>
    </w:p>
    <w:p w14:paraId="4E18888C">
      <w:pPr>
        <w:widowControl w:val="0"/>
        <w:numPr>
          <w:ilvl w:val="0"/>
          <w:numId w:val="0"/>
        </w:numPr>
        <w:adjustRightInd w:val="0"/>
        <w:snapToGrid w:val="0"/>
        <w:spacing w:line="600" w:lineRule="exact"/>
        <w:ind w:firstLine="640" w:firstLineChars="200"/>
        <w:jc w:val="both"/>
        <w:rPr>
          <w:rFonts w:hint="default"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会同相关部门和单位制定实施省重点实验室建设发展的配套政策措施。</w:t>
      </w:r>
    </w:p>
    <w:p w14:paraId="75894844">
      <w:pPr>
        <w:widowControl w:val="0"/>
        <w:numPr>
          <w:ilvl w:val="0"/>
          <w:numId w:val="0"/>
        </w:numPr>
        <w:adjustRightInd w:val="0"/>
        <w:snapToGrid w:val="0"/>
        <w:spacing w:line="600" w:lineRule="exact"/>
        <w:ind w:firstLine="640" w:firstLineChars="200"/>
        <w:jc w:val="both"/>
        <w:rPr>
          <w:rFonts w:hint="eastAsia"/>
        </w:rPr>
      </w:pPr>
      <w:r>
        <w:rPr>
          <w:rFonts w:hint="eastAsia" w:ascii="仿宋_GB2312" w:hAnsi="仿宋_GB2312" w:eastAsia="仿宋_GB2312" w:cs="仿宋_GB2312"/>
          <w:sz w:val="32"/>
          <w:szCs w:val="32"/>
          <w:lang w:val="en-US" w:eastAsia="zh-CN"/>
        </w:rPr>
        <w:t>（四） 负责专项资金的</w:t>
      </w:r>
      <w:r>
        <w:rPr>
          <w:rFonts w:hint="default" w:ascii="仿宋_GB2312" w:hAnsi="仿宋_GB2312" w:eastAsia="仿宋_GB2312" w:cs="仿宋_GB2312"/>
          <w:sz w:val="32"/>
          <w:szCs w:val="32"/>
          <w:lang w:val="en-US" w:eastAsia="zh-CN"/>
        </w:rPr>
        <w:t>设立</w:t>
      </w:r>
      <w:r>
        <w:rPr>
          <w:rFonts w:hint="eastAsia" w:ascii="仿宋_GB2312" w:hAnsi="仿宋_GB2312" w:eastAsia="仿宋_GB2312" w:cs="仿宋_GB2312"/>
          <w:sz w:val="32"/>
          <w:szCs w:val="32"/>
          <w:lang w:val="en-US" w:eastAsia="zh-CN"/>
        </w:rPr>
        <w:t>申请</w:t>
      </w:r>
      <w:r>
        <w:rPr>
          <w:rFonts w:hint="default" w:ascii="仿宋_GB2312" w:hAnsi="仿宋_GB2312" w:eastAsia="仿宋_GB2312" w:cs="仿宋_GB2312"/>
          <w:sz w:val="32"/>
          <w:szCs w:val="32"/>
          <w:lang w:val="en-US" w:eastAsia="zh-CN"/>
        </w:rPr>
        <w:t>、预算申报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会同省财政厅开展监督检查、组织绩效评价等工作。</w:t>
      </w:r>
    </w:p>
    <w:p w14:paraId="75CCB0E0">
      <w:pPr>
        <w:widowControl w:val="0"/>
        <w:adjustRightInd w:val="0"/>
        <w:snapToGrid w:val="0"/>
        <w:spacing w:line="60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依托单位是省重点实验室建设和运行管理的责任主体，主要职责：</w:t>
      </w:r>
    </w:p>
    <w:p w14:paraId="64D096E3">
      <w:pPr>
        <w:pStyle w:val="5"/>
        <w:spacing w:line="600" w:lineRule="exact"/>
        <w:ind w:firstLine="640" w:firstLineChars="200"/>
        <w:jc w:val="both"/>
        <w:rPr>
          <w:rFonts w:hint="default"/>
          <w:lang w:val="en-US"/>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整合各类创新资源，提供人员、设备、场地等科研基础条件</w:t>
      </w:r>
      <w:r>
        <w:rPr>
          <w:rFonts w:hint="eastAsia" w:ascii="仿宋_GB2312" w:hAnsi="仿宋_GB2312" w:eastAsia="仿宋_GB2312" w:cs="仿宋_GB2312"/>
          <w:sz w:val="32"/>
          <w:szCs w:val="32"/>
          <w:lang w:val="en-US" w:eastAsia="zh-CN"/>
        </w:rPr>
        <w:t>和经费</w:t>
      </w:r>
      <w:r>
        <w:rPr>
          <w:rFonts w:hint="eastAsia" w:ascii="仿宋_GB2312" w:hAnsi="仿宋_GB2312" w:eastAsia="仿宋_GB2312" w:cs="仿宋_GB2312"/>
          <w:sz w:val="32"/>
          <w:szCs w:val="32"/>
        </w:rPr>
        <w:t>保障，解决省重点实验室建设运行中的实际问题。</w:t>
      </w:r>
    </w:p>
    <w:p w14:paraId="37806F46">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聘任省重点实验室主任、副主任和学术委员会主任、副主任及委员。</w:t>
      </w:r>
    </w:p>
    <w:p w14:paraId="5125BA9B">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 组织实施省重点实验室年度考核，配合省科技厅做好省重点实验室管理、评估、材料审核等工作。</w:t>
      </w:r>
    </w:p>
    <w:p w14:paraId="0A1C896C">
      <w:pPr>
        <w:pStyle w:val="5"/>
        <w:ind w:firstLine="640" w:firstLineChars="200"/>
        <w:jc w:val="both"/>
        <w:rPr>
          <w:rFonts w:hint="eastAsia"/>
        </w:rPr>
      </w:pPr>
      <w:r>
        <w:rPr>
          <w:rFonts w:hint="eastAsia" w:ascii="仿宋_GB2312" w:hAnsi="仿宋_GB2312" w:eastAsia="仿宋_GB2312" w:cs="仿宋_GB2312"/>
          <w:color w:val="auto"/>
          <w:kern w:val="0"/>
          <w:sz w:val="32"/>
          <w:szCs w:val="32"/>
          <w:lang w:val="en-US" w:eastAsia="zh-CN"/>
        </w:rPr>
        <w:t xml:space="preserve">（四） </w:t>
      </w:r>
      <w:r>
        <w:rPr>
          <w:rFonts w:hint="eastAsia" w:ascii="仿宋_GB2312" w:hAnsi="仿宋_GB2312" w:eastAsia="仿宋_GB2312" w:cs="仿宋_GB2312"/>
          <w:b w:val="0"/>
          <w:bCs w:val="0"/>
          <w:color w:val="000000"/>
          <w:sz w:val="32"/>
          <w:szCs w:val="32"/>
        </w:rPr>
        <w:t>建立健全专项经费管理</w:t>
      </w:r>
      <w:r>
        <w:rPr>
          <w:rFonts w:hint="eastAsia" w:ascii="仿宋_GB2312" w:hAnsi="仿宋_GB2312" w:eastAsia="仿宋_GB2312" w:cs="仿宋_GB2312"/>
          <w:b w:val="0"/>
          <w:bCs w:val="0"/>
          <w:color w:val="000000"/>
          <w:sz w:val="32"/>
          <w:szCs w:val="32"/>
          <w:lang w:val="en-US" w:eastAsia="zh-CN"/>
        </w:rPr>
        <w:t>制度</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实行</w:t>
      </w:r>
      <w:r>
        <w:rPr>
          <w:rFonts w:hint="eastAsia" w:ascii="仿宋_GB2312" w:hAnsi="仿宋_GB2312" w:eastAsia="仿宋_GB2312" w:cs="仿宋_GB2312"/>
          <w:b w:val="0"/>
          <w:bCs w:val="0"/>
          <w:color w:val="000000"/>
          <w:sz w:val="32"/>
          <w:szCs w:val="32"/>
        </w:rPr>
        <w:t>单独核算，</w:t>
      </w:r>
      <w:r>
        <w:rPr>
          <w:rFonts w:hint="eastAsia" w:ascii="仿宋_GB2312" w:hAnsi="仿宋_GB2312" w:eastAsia="仿宋_GB2312" w:cs="仿宋_GB2312"/>
          <w:b w:val="0"/>
          <w:bCs w:val="0"/>
          <w:color w:val="000000"/>
          <w:sz w:val="32"/>
          <w:szCs w:val="32"/>
          <w:lang w:val="en-US" w:eastAsia="zh-CN"/>
        </w:rPr>
        <w:t>做到</w:t>
      </w:r>
      <w:r>
        <w:rPr>
          <w:rFonts w:hint="eastAsia" w:ascii="仿宋_GB2312" w:hAnsi="仿宋_GB2312" w:eastAsia="仿宋_GB2312" w:cs="仿宋_GB2312"/>
          <w:b w:val="0"/>
          <w:bCs w:val="0"/>
          <w:color w:val="000000"/>
          <w:sz w:val="32"/>
          <w:szCs w:val="32"/>
        </w:rPr>
        <w:t>专款专用</w:t>
      </w:r>
      <w:r>
        <w:rPr>
          <w:rFonts w:hint="eastAsia" w:ascii="仿宋_GB2312" w:hAnsi="仿宋_GB2312" w:eastAsia="仿宋_GB2312" w:cs="仿宋_GB2312"/>
          <w:sz w:val="32"/>
          <w:szCs w:val="32"/>
          <w:lang w:val="en-US" w:eastAsia="zh-CN"/>
        </w:rPr>
        <w:t>；积极争取中央资金、企业委托资金、社会组织与个人捐赠等各方资金支持。</w:t>
      </w:r>
    </w:p>
    <w:p w14:paraId="097D9C80">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贯彻落实安全生产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科技安全等相关</w:t>
      </w:r>
      <w:r>
        <w:rPr>
          <w:rFonts w:hint="eastAsia" w:ascii="仿宋_GB2312" w:hAnsi="仿宋_GB2312" w:eastAsia="仿宋_GB2312" w:cs="仿宋_GB2312"/>
          <w:sz w:val="32"/>
          <w:szCs w:val="32"/>
          <w:lang w:val="en-US" w:eastAsia="zh-CN"/>
        </w:rPr>
        <w:t>法律法规和政策文件</w:t>
      </w:r>
      <w:r>
        <w:rPr>
          <w:rFonts w:hint="eastAsia" w:ascii="仿宋_GB2312" w:hAnsi="仿宋_GB2312" w:eastAsia="仿宋_GB2312" w:cs="仿宋_GB2312"/>
          <w:sz w:val="32"/>
          <w:szCs w:val="32"/>
        </w:rPr>
        <w:t>，加强科研诚信</w:t>
      </w:r>
      <w:r>
        <w:rPr>
          <w:rFonts w:hint="eastAsia" w:ascii="仿宋_GB2312" w:hAnsi="仿宋_GB2312" w:eastAsia="仿宋_GB2312" w:cs="仿宋_GB2312"/>
          <w:sz w:val="32"/>
          <w:szCs w:val="32"/>
          <w:lang w:val="en-US" w:eastAsia="zh-CN"/>
        </w:rPr>
        <w:t>建设与</w:t>
      </w:r>
      <w:r>
        <w:rPr>
          <w:rFonts w:hint="eastAsia" w:ascii="仿宋_GB2312" w:hAnsi="仿宋_GB2312" w:eastAsia="仿宋_GB2312" w:cs="仿宋_GB2312"/>
          <w:sz w:val="32"/>
          <w:szCs w:val="32"/>
        </w:rPr>
        <w:t>科技伦理治理。</w:t>
      </w:r>
    </w:p>
    <w:p w14:paraId="668C1613">
      <w:pPr>
        <w:widowControl w:val="0"/>
        <w:adjustRightInd w:val="0"/>
        <w:snapToGrid w:val="0"/>
        <w:spacing w:line="600" w:lineRule="exact"/>
        <w:ind w:firstLine="640" w:firstLineChars="200"/>
        <w:jc w:val="both"/>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坚持党的领导，落实党建主体责任，推动党建工作与省重点实验室业务工作深度融合。</w:t>
      </w:r>
    </w:p>
    <w:p w14:paraId="15AE2105">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第</w:t>
      </w:r>
      <w:r>
        <w:rPr>
          <w:rFonts w:hint="eastAsia" w:ascii="仿宋_GB2312" w:hAnsi="仿宋_GB2312" w:eastAsia="仿宋_GB2312" w:cs="仿宋_GB2312"/>
          <w:b/>
          <w:bCs w:val="0"/>
          <w:sz w:val="32"/>
          <w:szCs w:val="32"/>
          <w:lang w:val="en-US" w:eastAsia="zh-CN"/>
        </w:rPr>
        <w:t>八</w:t>
      </w:r>
      <w:r>
        <w:rPr>
          <w:rFonts w:hint="eastAsia" w:ascii="仿宋_GB2312" w:hAnsi="仿宋_GB2312" w:eastAsia="仿宋_GB2312" w:cs="仿宋_GB2312"/>
          <w:b/>
          <w:bCs w:val="0"/>
          <w:sz w:val="32"/>
          <w:szCs w:val="32"/>
        </w:rPr>
        <w:t>条</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sz w:val="32"/>
          <w:szCs w:val="32"/>
        </w:rPr>
        <w:t>省重点实验室主要职责：</w:t>
      </w:r>
    </w:p>
    <w:p w14:paraId="1CE788EC">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 </w:t>
      </w:r>
      <w:r>
        <w:rPr>
          <w:rFonts w:hint="eastAsia" w:ascii="仿宋_GB2312" w:hAnsi="仿宋_GB2312" w:eastAsia="仿宋_GB2312" w:cs="仿宋_GB2312"/>
          <w:sz w:val="32"/>
          <w:szCs w:val="32"/>
          <w:lang w:val="en-US" w:eastAsia="zh-CN"/>
        </w:rPr>
        <w:t>坚持“四个面向”，</w:t>
      </w:r>
      <w:r>
        <w:rPr>
          <w:rFonts w:hint="eastAsia" w:ascii="仿宋_GB2312" w:hAnsi="仿宋_GB2312" w:eastAsia="仿宋_GB2312" w:cs="仿宋_GB2312"/>
          <w:sz w:val="32"/>
          <w:szCs w:val="32"/>
        </w:rPr>
        <w:t>解决重大科学问题，攻克</w:t>
      </w:r>
      <w:r>
        <w:rPr>
          <w:rFonts w:hint="eastAsia" w:ascii="仿宋_GB2312" w:hAnsi="仿宋_GB2312" w:eastAsia="仿宋_GB2312" w:cs="仿宋_GB2312"/>
          <w:sz w:val="32"/>
          <w:szCs w:val="32"/>
          <w:lang w:val="en-US" w:eastAsia="zh-CN"/>
        </w:rPr>
        <w:t>核心</w:t>
      </w:r>
      <w:r>
        <w:rPr>
          <w:rFonts w:hint="eastAsia" w:ascii="仿宋_GB2312" w:hAnsi="仿宋_GB2312" w:eastAsia="仿宋_GB2312" w:cs="仿宋_GB2312"/>
          <w:sz w:val="32"/>
          <w:szCs w:val="32"/>
        </w:rPr>
        <w:t>关键技术，</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科学技术</w:t>
      </w:r>
      <w:r>
        <w:rPr>
          <w:rFonts w:hint="eastAsia" w:ascii="仿宋_GB2312" w:hAnsi="仿宋_GB2312" w:eastAsia="仿宋_GB2312" w:cs="仿宋_GB2312"/>
          <w:sz w:val="32"/>
          <w:szCs w:val="32"/>
          <w:lang w:val="en-US" w:eastAsia="zh-CN"/>
        </w:rPr>
        <w:t>进步</w:t>
      </w:r>
      <w:r>
        <w:rPr>
          <w:rFonts w:hint="eastAsia" w:ascii="仿宋_GB2312" w:hAnsi="仿宋_GB2312" w:eastAsia="仿宋_GB2312" w:cs="仿宋_GB2312"/>
          <w:sz w:val="32"/>
          <w:szCs w:val="32"/>
        </w:rPr>
        <w:t>发展。</w:t>
      </w:r>
    </w:p>
    <w:p w14:paraId="088980D9">
      <w:pPr>
        <w:widowControl w:val="0"/>
        <w:adjustRightInd w:val="0"/>
        <w:snapToGrid w:val="0"/>
        <w:spacing w:line="600" w:lineRule="exact"/>
        <w:ind w:firstLine="640" w:firstLineChars="200"/>
        <w:jc w:val="both"/>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科学配置科技资源，提升科技基础设施建设水平，实现开放共享，创新科研管理体制机制。</w:t>
      </w:r>
    </w:p>
    <w:p w14:paraId="32E14A82">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引进培养一批高水平学术带头人和科研团队，建设高素质科研人才队伍。</w:t>
      </w:r>
    </w:p>
    <w:p w14:paraId="42CEF406">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组织国内外科技交流合作。</w:t>
      </w:r>
    </w:p>
    <w:p w14:paraId="4E2E8279">
      <w:pPr>
        <w:widowControl w:val="0"/>
        <w:adjustRightInd w:val="0"/>
        <w:snapToGrid w:val="0"/>
        <w:spacing w:line="600" w:lineRule="exact"/>
        <w:ind w:firstLine="640" w:firstLineChars="200"/>
        <w:jc w:val="both"/>
        <w:rPr>
          <w:rFonts w:hint="eastAsia"/>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科研诚信、科技保密、科技伦理、实验安全等相关</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规定。</w:t>
      </w:r>
    </w:p>
    <w:p w14:paraId="488017E5">
      <w:pPr>
        <w:pStyle w:val="2"/>
        <w:keepNext w:val="0"/>
        <w:widowControl w:val="0"/>
        <w:adjustRightInd w:val="0"/>
        <w:snapToGrid w:val="0"/>
        <w:spacing w:before="0" w:after="0" w:line="600" w:lineRule="exact"/>
        <w:jc w:val="center"/>
        <w:rPr>
          <w:rFonts w:hint="eastAsia"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rPr>
        <w:t>第三章　</w:t>
      </w:r>
      <w:r>
        <w:rPr>
          <w:rFonts w:hint="eastAsia" w:ascii="黑体" w:hAnsi="黑体" w:eastAsia="黑体" w:cs="黑体"/>
          <w:b w:val="0"/>
          <w:bCs w:val="0"/>
          <w:i w:val="0"/>
          <w:iCs w:val="0"/>
          <w:sz w:val="32"/>
          <w:szCs w:val="32"/>
          <w:lang w:val="en-US" w:eastAsia="zh-CN"/>
        </w:rPr>
        <w:t>申报与立项</w:t>
      </w:r>
    </w:p>
    <w:p w14:paraId="7D5EF088">
      <w:pPr>
        <w:widowControl w:val="0"/>
        <w:adjustRightInd w:val="0"/>
        <w:snapToGrid w:val="0"/>
        <w:spacing w:line="600" w:lineRule="exact"/>
        <w:ind w:firstLine="636"/>
        <w:jc w:val="both"/>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 xml:space="preserve">第九条 </w:t>
      </w:r>
      <w:r>
        <w:rPr>
          <w:rFonts w:hint="eastAsia" w:ascii="仿宋_GB2312" w:hAnsi="仿宋_GB2312" w:eastAsia="仿宋_GB2312" w:cs="仿宋_GB2312"/>
          <w:b w:val="0"/>
          <w:bCs w:val="0"/>
          <w:sz w:val="32"/>
          <w:szCs w:val="32"/>
          <w:lang w:val="en-US" w:eastAsia="zh-CN" w:bidi="ar-SA"/>
        </w:rPr>
        <w:t>贯彻落实省委、省政府重大决策部署，</w:t>
      </w:r>
      <w:r>
        <w:rPr>
          <w:rFonts w:hint="eastAsia" w:ascii="仿宋_GB2312" w:hAnsi="仿宋_GB2312" w:eastAsia="仿宋_GB2312" w:cs="仿宋_GB2312"/>
          <w:b w:val="0"/>
          <w:bCs w:val="0"/>
          <w:sz w:val="32"/>
          <w:szCs w:val="32"/>
          <w:lang w:val="en-US" w:eastAsia="zh-CN"/>
        </w:rPr>
        <w:t>聚焦广东重大战略</w:t>
      </w:r>
      <w:r>
        <w:rPr>
          <w:rFonts w:hint="eastAsia" w:ascii="仿宋_GB2312" w:hAnsi="仿宋_GB2312" w:eastAsia="仿宋_GB2312" w:cs="仿宋_GB2312"/>
          <w:sz w:val="32"/>
          <w:szCs w:val="32"/>
          <w:lang w:val="en-US" w:eastAsia="zh-CN"/>
        </w:rPr>
        <w:t>需求，结合实际情况，布局新建省重点实验室</w:t>
      </w:r>
      <w:r>
        <w:rPr>
          <w:rFonts w:hint="eastAsia" w:ascii="仿宋_GB2312" w:hAnsi="仿宋_GB2312" w:eastAsia="仿宋_GB2312" w:cs="仿宋_GB2312"/>
          <w:sz w:val="32"/>
          <w:szCs w:val="32"/>
          <w:lang w:val="en-US" w:eastAsia="zh-CN" w:bidi="ar-SA"/>
        </w:rPr>
        <w:t>。按年度发布省重点实验室</w:t>
      </w:r>
      <w:r>
        <w:rPr>
          <w:rFonts w:hint="eastAsia" w:ascii="仿宋_GB2312" w:hAnsi="仿宋_GB2312" w:eastAsia="仿宋_GB2312" w:cs="仿宋_GB2312"/>
          <w:b w:val="0"/>
          <w:bCs w:val="0"/>
          <w:i w:val="0"/>
          <w:iCs w:val="0"/>
          <w:sz w:val="32"/>
          <w:szCs w:val="32"/>
          <w:lang w:val="en-US" w:eastAsia="zh-CN"/>
        </w:rPr>
        <w:t>申报指南，</w:t>
      </w:r>
      <w:r>
        <w:rPr>
          <w:rFonts w:hint="eastAsia" w:ascii="仿宋_GB2312" w:hAnsi="仿宋_GB2312" w:eastAsia="仿宋_GB2312" w:cs="仿宋_GB2312"/>
          <w:sz w:val="32"/>
          <w:szCs w:val="32"/>
          <w:lang w:val="en-US" w:eastAsia="zh-CN"/>
        </w:rPr>
        <w:t>明确建设领域、申报要求、立项数量、评审与支持方式等内容。</w:t>
      </w:r>
      <w:r>
        <w:rPr>
          <w:rFonts w:hint="eastAsia" w:ascii="仿宋_GB2312" w:hAnsi="仿宋_GB2312" w:eastAsia="仿宋_GB2312" w:cs="仿宋_GB2312"/>
          <w:b w:val="0"/>
          <w:bCs w:val="0"/>
          <w:i w:val="0"/>
          <w:iCs w:val="0"/>
          <w:sz w:val="32"/>
          <w:szCs w:val="32"/>
          <w:lang w:val="en-US" w:eastAsia="zh-CN"/>
        </w:rPr>
        <w:t>通过</w:t>
      </w:r>
      <w:r>
        <w:rPr>
          <w:rFonts w:hint="eastAsia" w:ascii="仿宋_GB2312" w:hAnsi="仿宋_GB2312" w:eastAsia="仿宋_GB2312" w:cs="仿宋_GB2312"/>
          <w:sz w:val="32"/>
          <w:szCs w:val="32"/>
        </w:rPr>
        <w:t>省科技厅</w:t>
      </w:r>
      <w:r>
        <w:rPr>
          <w:rFonts w:hint="eastAsia" w:ascii="仿宋_GB2312" w:hAnsi="仿宋_GB2312" w:eastAsia="仿宋_GB2312" w:cs="仿宋_GB2312"/>
          <w:b w:val="0"/>
          <w:bCs w:val="0"/>
          <w:i w:val="0"/>
          <w:iCs w:val="0"/>
          <w:sz w:val="32"/>
          <w:szCs w:val="32"/>
          <w:lang w:val="en-US" w:eastAsia="zh-CN"/>
        </w:rPr>
        <w:t>官网发布，申报时间不少于30个自然日。</w:t>
      </w:r>
    </w:p>
    <w:p w14:paraId="27CCF1C1">
      <w:pPr>
        <w:numPr>
          <w:ilvl w:val="0"/>
          <w:numId w:val="0"/>
        </w:numPr>
        <w:tabs>
          <w:tab w:val="left" w:pos="0"/>
        </w:tabs>
        <w:adjustRightInd w:val="0"/>
        <w:snapToGrid w:val="0"/>
        <w:spacing w:line="600" w:lineRule="exact"/>
        <w:ind w:firstLine="643" w:firstLineChars="200"/>
        <w:jc w:val="both"/>
        <w:rPr>
          <w:rFonts w:hint="eastAsia" w:ascii="黑体" w:hAnsi="黑体" w:eastAsia="黑体" w:cs="黑体"/>
          <w:b w:val="0"/>
          <w:bCs w:val="0"/>
          <w:i w:val="0"/>
          <w:iCs w:val="0"/>
          <w:sz w:val="32"/>
          <w:szCs w:val="32"/>
          <w:lang w:val="en-US" w:eastAsia="zh-CN"/>
        </w:rPr>
      </w:pPr>
      <w:r>
        <w:rPr>
          <w:rFonts w:hint="eastAsia" w:ascii="仿宋_GB2312" w:hAnsi="仿宋_GB2312" w:eastAsia="仿宋_GB2312" w:cs="仿宋_GB2312"/>
          <w:b/>
          <w:bCs/>
          <w:sz w:val="32"/>
          <w:szCs w:val="32"/>
          <w:lang w:val="en-US" w:eastAsia="zh-CN"/>
        </w:rPr>
        <w:t xml:space="preserve">第十条 </w:t>
      </w:r>
      <w:r>
        <w:rPr>
          <w:rFonts w:hint="eastAsia" w:ascii="仿宋_GB2312" w:hAnsi="仿宋_GB2312" w:eastAsia="仿宋_GB2312" w:cs="仿宋_GB2312"/>
          <w:color w:val="000000"/>
          <w:sz w:val="32"/>
          <w:szCs w:val="32"/>
          <w:lang w:val="en-US" w:eastAsia="zh-CN"/>
        </w:rPr>
        <w:t>资助标准：基础研究类省重点实验室</w:t>
      </w:r>
      <w:bookmarkStart w:id="6" w:name="OLE_LINK3"/>
      <w:r>
        <w:rPr>
          <w:rFonts w:hint="eastAsia" w:ascii="仿宋_GB2312" w:hAnsi="仿宋_GB2312" w:eastAsia="仿宋_GB2312" w:cs="仿宋_GB2312"/>
          <w:color w:val="000000"/>
          <w:sz w:val="32"/>
          <w:szCs w:val="32"/>
          <w:lang w:val="en-US" w:eastAsia="zh-CN"/>
        </w:rPr>
        <w:t>资助强度</w:t>
      </w:r>
      <w:bookmarkEnd w:id="6"/>
      <w:r>
        <w:rPr>
          <w:rFonts w:hint="eastAsia" w:ascii="仿宋_GB2312" w:hAnsi="仿宋_GB2312" w:eastAsia="仿宋_GB2312" w:cs="仿宋_GB2312"/>
          <w:color w:val="000000"/>
          <w:sz w:val="32"/>
          <w:szCs w:val="32"/>
          <w:lang w:val="en-US" w:eastAsia="zh-CN"/>
        </w:rPr>
        <w:t>一般为300万元/家，技术攻关类省重点实验室资助强度一般为100万元/家，省市共建省重点实验室基础研究类、技术攻关类资助强度分别为200万元/家和100万元/家。</w:t>
      </w:r>
      <w:r>
        <w:rPr>
          <w:rFonts w:hint="eastAsia" w:ascii="仿宋_GB2312" w:hAnsi="仿宋_GB2312" w:eastAsia="仿宋_GB2312" w:cs="仿宋_GB2312"/>
          <w:color w:val="000000"/>
          <w:sz w:val="32"/>
          <w:szCs w:val="32"/>
        </w:rPr>
        <w:t>项目执行周期</w:t>
      </w:r>
      <w:r>
        <w:rPr>
          <w:rFonts w:hint="eastAsia" w:ascii="仿宋_GB2312" w:hAnsi="仿宋_GB2312" w:eastAsia="仿宋_GB2312" w:cs="仿宋_GB2312"/>
          <w:color w:val="000000"/>
          <w:sz w:val="32"/>
          <w:szCs w:val="32"/>
          <w:lang w:val="en-US" w:eastAsia="zh-CN"/>
        </w:rPr>
        <w:t>一般</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专项资金</w:t>
      </w:r>
      <w:r>
        <w:rPr>
          <w:rFonts w:hint="eastAsia" w:ascii="仿宋_GB2312" w:hAnsi="仿宋_GB2312" w:eastAsia="仿宋_GB2312" w:cs="仿宋_GB2312"/>
          <w:b w:val="0"/>
          <w:bCs w:val="0"/>
          <w:color w:val="000000"/>
          <w:sz w:val="32"/>
          <w:szCs w:val="32"/>
        </w:rPr>
        <w:t>采取</w:t>
      </w:r>
      <w:r>
        <w:rPr>
          <w:rFonts w:hint="eastAsia" w:ascii="仿宋_GB2312" w:hAnsi="仿宋_GB2312" w:eastAsia="仿宋_GB2312" w:cs="仿宋_GB2312"/>
          <w:color w:val="000000"/>
          <w:sz w:val="32"/>
          <w:szCs w:val="32"/>
          <w:lang w:val="en-US" w:eastAsia="zh-CN"/>
        </w:rPr>
        <w:t>一次性事前无偿</w:t>
      </w:r>
      <w:r>
        <w:rPr>
          <w:rFonts w:hint="eastAsia" w:ascii="仿宋_GB2312" w:hAnsi="仿宋_GB2312" w:eastAsia="仿宋_GB2312" w:cs="仿宋_GB2312"/>
          <w:color w:val="000000"/>
          <w:sz w:val="32"/>
          <w:szCs w:val="32"/>
          <w:lang w:val="en-US"/>
        </w:rPr>
        <w:t>资助</w:t>
      </w:r>
      <w:r>
        <w:rPr>
          <w:rFonts w:hint="eastAsia" w:ascii="仿宋_GB2312" w:hAnsi="仿宋_GB2312" w:eastAsia="仿宋_GB2312" w:cs="仿宋_GB2312"/>
          <w:color w:val="000000"/>
          <w:sz w:val="32"/>
          <w:szCs w:val="32"/>
          <w:lang w:val="en-US" w:eastAsia="zh-CN"/>
        </w:rPr>
        <w:t>的方式支持。</w:t>
      </w:r>
    </w:p>
    <w:p w14:paraId="6968081F">
      <w:pPr>
        <w:widowControl w:val="0"/>
        <w:adjustRightInd w:val="0"/>
        <w:snapToGrid w:val="0"/>
        <w:spacing w:line="600" w:lineRule="exact"/>
        <w:ind w:firstLine="643" w:firstLineChars="200"/>
        <w:jc w:val="both"/>
        <w:rPr>
          <w:rFonts w:hint="eastAsia" w:eastAsia="仿宋_GB231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省</w:t>
      </w:r>
      <w:r>
        <w:rPr>
          <w:rFonts w:hint="eastAsia" w:ascii="仿宋_GB2312" w:hAnsi="仿宋_GB2312" w:eastAsia="仿宋_GB2312" w:cs="仿宋_GB2312"/>
          <w:color w:val="000000"/>
          <w:sz w:val="32"/>
          <w:szCs w:val="32"/>
          <w:lang w:val="en-US" w:eastAsia="zh-CN"/>
        </w:rPr>
        <w:t>重点实验室申报单位应为广东省内注册的高等院校、科研院所、医疗机构、企业等独立法人单位。其中，基础研究类省重点实验室申报单位具有明显的基础与应用基础研究优势，能够承担重大科学研究任务，取得重大原始创新成果；技</w:t>
      </w:r>
      <w:r>
        <w:rPr>
          <w:rFonts w:hint="eastAsia" w:ascii="仿宋_GB2312" w:hAnsi="仿宋_GB2312" w:eastAsia="仿宋_GB2312" w:cs="仿宋_GB2312"/>
          <w:sz w:val="32"/>
          <w:szCs w:val="32"/>
          <w:lang w:bidi="ar"/>
        </w:rPr>
        <w:t>术攻关类省重点实验室</w:t>
      </w:r>
      <w:r>
        <w:rPr>
          <w:rFonts w:hint="eastAsia" w:ascii="仿宋_GB2312" w:hAnsi="仿宋_GB2312" w:eastAsia="仿宋_GB2312" w:cs="仿宋_GB2312"/>
          <w:sz w:val="32"/>
          <w:szCs w:val="32"/>
          <w:lang w:val="en-US" w:eastAsia="zh-CN"/>
        </w:rPr>
        <w:t>申报单位</w:t>
      </w:r>
      <w:r>
        <w:rPr>
          <w:rFonts w:hint="eastAsia" w:ascii="仿宋_GB2312" w:hAnsi="仿宋_GB2312" w:eastAsia="仿宋_GB2312" w:cs="仿宋_GB2312"/>
          <w:sz w:val="32"/>
          <w:szCs w:val="32"/>
          <w:lang w:bidi="ar"/>
        </w:rPr>
        <w:t>具有明显的技术攻关优势，能够承担重大科研攻关任务，解决关键科学技术问题</w:t>
      </w:r>
      <w:r>
        <w:rPr>
          <w:rFonts w:hint="eastAsia" w:ascii="仿宋_GB2312" w:hAnsi="仿宋_GB2312" w:eastAsia="仿宋_GB2312" w:cs="仿宋_GB2312"/>
          <w:sz w:val="32"/>
          <w:szCs w:val="32"/>
          <w:lang w:eastAsia="zh-CN" w:bidi="ar"/>
        </w:rPr>
        <w:t>。</w:t>
      </w:r>
    </w:p>
    <w:p w14:paraId="139D09A3">
      <w:pPr>
        <w:widowControl w:val="0"/>
        <w:adjustRightInd w:val="0"/>
        <w:snapToGrid w:val="0"/>
        <w:spacing w:line="60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b/>
          <w:bCs w:val="0"/>
          <w:sz w:val="32"/>
          <w:szCs w:val="32"/>
        </w:rPr>
        <w:t>第十</w:t>
      </w:r>
      <w:r>
        <w:rPr>
          <w:rFonts w:hint="eastAsia" w:ascii="仿宋_GB2312" w:hAnsi="仿宋_GB2312" w:eastAsia="仿宋_GB2312" w:cs="仿宋_GB2312"/>
          <w:b/>
          <w:bCs w:val="0"/>
          <w:sz w:val="32"/>
          <w:szCs w:val="32"/>
          <w:lang w:val="en-US" w:eastAsia="zh-CN"/>
        </w:rPr>
        <w:t>二</w:t>
      </w:r>
      <w:r>
        <w:rPr>
          <w:rFonts w:hint="eastAsia" w:ascii="仿宋_GB2312" w:hAnsi="仿宋_GB2312" w:eastAsia="仿宋_GB2312" w:cs="仿宋_GB2312"/>
          <w:b/>
          <w:bCs w:val="0"/>
          <w:sz w:val="32"/>
          <w:szCs w:val="32"/>
        </w:rPr>
        <w:t>条</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sz w:val="32"/>
          <w:szCs w:val="32"/>
          <w:lang w:val="en-US" w:eastAsia="zh-CN"/>
        </w:rPr>
        <w:t>申报省重点实</w:t>
      </w:r>
      <w:r>
        <w:rPr>
          <w:rFonts w:hint="eastAsia" w:ascii="仿宋_GB2312" w:hAnsi="仿宋_GB2312" w:eastAsia="仿宋_GB2312" w:cs="仿宋_GB2312"/>
          <w:sz w:val="32"/>
          <w:szCs w:val="32"/>
        </w:rPr>
        <w:t>验室应当</w:t>
      </w:r>
      <w:r>
        <w:rPr>
          <w:rFonts w:hint="eastAsia" w:ascii="仿宋_GB2312" w:hAnsi="仿宋_GB2312" w:eastAsia="仿宋_GB2312" w:cs="仿宋_GB2312"/>
          <w:sz w:val="32"/>
          <w:szCs w:val="32"/>
          <w:lang w:val="en-US" w:eastAsia="zh-CN"/>
        </w:rPr>
        <w:t>满足</w:t>
      </w:r>
      <w:r>
        <w:rPr>
          <w:rFonts w:hint="eastAsia" w:ascii="仿宋_GB2312" w:hAnsi="仿宋_GB2312" w:eastAsia="仿宋_GB2312" w:cs="仿宋_GB2312"/>
          <w:sz w:val="32"/>
          <w:szCs w:val="32"/>
        </w:rPr>
        <w:t>下列条件</w:t>
      </w:r>
      <w:r>
        <w:rPr>
          <w:rFonts w:hint="eastAsia" w:ascii="仿宋_GB2312" w:hAnsi="仿宋_GB2312" w:eastAsia="仿宋_GB2312" w:cs="仿宋_GB2312"/>
          <w:sz w:val="32"/>
          <w:szCs w:val="32"/>
          <w:lang w:val="en-US" w:eastAsia="zh-CN" w:bidi="ar"/>
        </w:rPr>
        <w:t>。</w:t>
      </w:r>
    </w:p>
    <w:p w14:paraId="1AF71ECF">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研究领域、内容明确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近中远期建设目标清晰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现有</w:t>
      </w:r>
      <w:r>
        <w:rPr>
          <w:rFonts w:hint="eastAsia" w:ascii="仿宋_GB2312" w:hAnsi="仿宋_GB2312" w:eastAsia="仿宋_GB2312" w:cs="仿宋_GB2312"/>
          <w:sz w:val="32"/>
          <w:szCs w:val="32"/>
        </w:rPr>
        <w:t>省重点实验室</w:t>
      </w:r>
      <w:r>
        <w:rPr>
          <w:rFonts w:hint="eastAsia" w:ascii="仿宋_GB2312" w:hAnsi="仿宋_GB2312" w:eastAsia="仿宋_GB2312" w:cs="仿宋_GB2312"/>
          <w:sz w:val="32"/>
          <w:szCs w:val="32"/>
          <w:lang w:val="en-US" w:eastAsia="zh-CN"/>
        </w:rPr>
        <w:t>错位</w:t>
      </w:r>
      <w:r>
        <w:rPr>
          <w:rFonts w:hint="eastAsia" w:ascii="仿宋_GB2312" w:hAnsi="仿宋_GB2312" w:eastAsia="仿宋_GB2312" w:cs="仿宋_GB2312"/>
          <w:sz w:val="32"/>
          <w:szCs w:val="32"/>
        </w:rPr>
        <w:t>；</w:t>
      </w:r>
    </w:p>
    <w:p w14:paraId="58C15BD8">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科技优势明显，在本领域、本行业处于国际、国内或省内先进水平；科研实力雄厚，能承担和完成国家及广东省重大科研任务，产出高水平研究成果；</w:t>
      </w:r>
    </w:p>
    <w:p w14:paraId="20787D61">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科研人员队伍素质优良、规模适中、结构优化、能力突出，且保持相对稳定，固定人员须在30人以上；　</w:t>
      </w:r>
    </w:p>
    <w:p w14:paraId="31312691">
      <w:pPr>
        <w:pStyle w:val="3"/>
        <w:overflowPunct w:val="0"/>
        <w:spacing w:line="600" w:lineRule="exact"/>
        <w:ind w:firstLine="640" w:firstLineChars="200"/>
        <w:jc w:val="both"/>
        <w:rPr>
          <w:rFonts w:hint="eastAsia" w:ascii="仿宋_GB2312" w:hAnsi="仿宋_GB2312" w:eastAsia="仿宋_GB2312" w:cs="仿宋_GB2312"/>
          <w:lang w:val="zh-CN"/>
        </w:rPr>
      </w:pPr>
      <w:r>
        <w:rPr>
          <w:rFonts w:hint="eastAsia" w:ascii="仿宋_GB2312" w:hAnsi="仿宋_GB2312" w:eastAsia="仿宋_GB2312" w:cs="仿宋_GB2312"/>
        </w:rPr>
        <w:t>（四） 实验室主任、学术带头人科研、学术水平高、学风正派民主、注重团结协作</w:t>
      </w:r>
      <w:r>
        <w:rPr>
          <w:rFonts w:hint="eastAsia" w:ascii="仿宋_GB2312" w:hAnsi="仿宋_GB2312" w:eastAsia="仿宋_GB2312" w:cs="仿宋_GB2312"/>
          <w:lang w:eastAsia="zh-CN"/>
        </w:rPr>
        <w:t>，</w:t>
      </w:r>
      <w:r>
        <w:rPr>
          <w:rFonts w:hint="eastAsia" w:ascii="仿宋_GB2312" w:hAnsi="仿宋_GB2312" w:eastAsia="仿宋_GB2312" w:cs="仿宋_GB2312"/>
        </w:rPr>
        <w:t>具有较强的组织领导和统筹协调能力</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能够</w:t>
      </w:r>
      <w:r>
        <w:rPr>
          <w:rFonts w:hint="eastAsia" w:ascii="仿宋_GB2312" w:hAnsi="仿宋_GB2312" w:eastAsia="仿宋_GB2312" w:cs="仿宋_GB2312"/>
        </w:rPr>
        <w:t>全职在</w:t>
      </w:r>
      <w:r>
        <w:rPr>
          <w:rFonts w:hint="eastAsia" w:ascii="仿宋_GB2312" w:hAnsi="仿宋_GB2312" w:eastAsia="仿宋_GB2312" w:cs="仿宋_GB2312"/>
          <w:sz w:val="32"/>
          <w:szCs w:val="32"/>
        </w:rPr>
        <w:t>省重点实验室</w:t>
      </w:r>
      <w:r>
        <w:rPr>
          <w:rFonts w:hint="eastAsia" w:ascii="仿宋_GB2312" w:hAnsi="仿宋_GB2312" w:eastAsia="仿宋_GB2312" w:cs="仿宋_GB2312"/>
        </w:rPr>
        <w:t>工作</w:t>
      </w:r>
      <w:r>
        <w:rPr>
          <w:rFonts w:hint="eastAsia" w:ascii="仿宋_GB2312" w:hAnsi="仿宋_GB2312" w:eastAsia="仿宋_GB2312" w:cs="仿宋_GB2312"/>
          <w:lang w:val="zh-CN"/>
        </w:rPr>
        <w:t>。</w:t>
      </w:r>
    </w:p>
    <w:p w14:paraId="1B57618B">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科研用房和场地相对集中且面积充足，科学仪器设备居国内一流水平并对外开放使用；</w:t>
      </w:r>
    </w:p>
    <w:p w14:paraId="65A75E0F">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科研组织体系、管理体制和运行机制比较完善，创新文化氛围良好。</w:t>
      </w:r>
    </w:p>
    <w:p w14:paraId="70B39471">
      <w:pPr>
        <w:widowControl w:val="0"/>
        <w:adjustRightInd w:val="0"/>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同等条件下优先支持已建设运行2年以上的省直和地市等部门建设的重点实验室。</w:t>
      </w:r>
    </w:p>
    <w:p w14:paraId="3FC2B43E">
      <w:pPr>
        <w:widowControl w:val="0"/>
        <w:numPr>
          <w:ilvl w:val="0"/>
          <w:numId w:val="0"/>
        </w:numPr>
        <w:adjustRightInd w:val="0"/>
        <w:snapToGrid w:val="0"/>
        <w:spacing w:line="600" w:lineRule="exact"/>
        <w:ind w:firstLine="636"/>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省市共建重点实验室申报须经所在地级以上市人民政府书面推荐，明确地市支持方式和支持力度</w:t>
      </w:r>
      <w:r>
        <w:rPr>
          <w:rFonts w:hint="eastAsia" w:ascii="仿宋_GB2312" w:hAnsi="仿宋_GB2312" w:eastAsia="仿宋_GB2312" w:cs="仿宋_GB2312"/>
          <w:sz w:val="32"/>
          <w:szCs w:val="32"/>
          <w:lang w:eastAsia="zh-CN"/>
        </w:rPr>
        <w:t>。</w:t>
      </w:r>
    </w:p>
    <w:p w14:paraId="41272596">
      <w:pPr>
        <w:widowControl w:val="0"/>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auto"/>
          <w:sz w:val="32"/>
          <w:szCs w:val="32"/>
          <w:lang w:val="en-US" w:eastAsia="zh-CN"/>
        </w:rPr>
        <w:t>第十三条</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kern w:val="0"/>
          <w:sz w:val="32"/>
          <w:szCs w:val="32"/>
          <w:highlight w:val="none"/>
          <w:lang w:val="en-US" w:eastAsia="zh-CN" w:bidi="ar-SA"/>
        </w:rPr>
        <w:t>按照“领域相近、数量相当、适度合并”原则对申报项目进行领域分组，各组评审专家按照</w:t>
      </w:r>
      <w:r>
        <w:rPr>
          <w:rFonts w:hint="eastAsia" w:ascii="仿宋_GB2312" w:hAnsi="仿宋_GB2312" w:eastAsia="仿宋_GB2312" w:cs="仿宋_GB2312"/>
          <w:sz w:val="32"/>
          <w:szCs w:val="32"/>
          <w:highlight w:val="none"/>
          <w:lang w:val="en-US" w:eastAsia="zh-CN"/>
        </w:rPr>
        <w:t>专业领域匹配、</w:t>
      </w:r>
      <w:r>
        <w:rPr>
          <w:rFonts w:hint="eastAsia" w:ascii="仿宋_GB2312" w:hAnsi="仿宋_GB2312" w:eastAsia="仿宋_GB2312" w:cs="仿宋_GB2312"/>
          <w:sz w:val="32"/>
          <w:szCs w:val="32"/>
          <w:lang w:val="en-US" w:eastAsia="zh-CN"/>
        </w:rPr>
        <w:t>随机、回避</w:t>
      </w:r>
      <w:r>
        <w:rPr>
          <w:rFonts w:hint="eastAsia" w:ascii="仿宋_GB2312" w:hAnsi="仿宋_GB2312" w:eastAsia="仿宋_GB2312" w:cs="仿宋_GB2312"/>
          <w:sz w:val="32"/>
          <w:szCs w:val="32"/>
          <w:highlight w:val="none"/>
          <w:lang w:val="en-US" w:eastAsia="zh-CN"/>
        </w:rPr>
        <w:t>的原则从广东省科技业务管理</w:t>
      </w:r>
      <w:r>
        <w:rPr>
          <w:rFonts w:hint="eastAsia" w:ascii="仿宋_GB2312" w:hAnsi="仿宋_GB2312" w:eastAsia="仿宋_GB2312" w:cs="仿宋_GB2312"/>
          <w:sz w:val="32"/>
          <w:szCs w:val="32"/>
          <w:highlight w:val="none"/>
        </w:rPr>
        <w:t>阳光</w:t>
      </w:r>
      <w:r>
        <w:rPr>
          <w:rFonts w:hint="eastAsia" w:ascii="仿宋_GB2312" w:hAnsi="仿宋_GB2312" w:eastAsia="仿宋_GB2312" w:cs="仿宋_GB2312"/>
          <w:sz w:val="32"/>
          <w:szCs w:val="32"/>
          <w:highlight w:val="none"/>
          <w:lang w:eastAsia="zh-CN"/>
        </w:rPr>
        <w:t>政务</w:t>
      </w:r>
      <w:r>
        <w:rPr>
          <w:rFonts w:hint="eastAsia" w:ascii="仿宋_GB2312" w:hAnsi="仿宋_GB2312" w:eastAsia="仿宋_GB2312" w:cs="仿宋_GB2312"/>
          <w:sz w:val="32"/>
          <w:szCs w:val="32"/>
          <w:highlight w:val="none"/>
        </w:rPr>
        <w:t>平台专家库</w:t>
      </w:r>
      <w:r>
        <w:rPr>
          <w:rFonts w:hint="eastAsia" w:ascii="仿宋_GB2312" w:hAnsi="仿宋_GB2312" w:eastAsia="仿宋_GB2312" w:cs="仿宋_GB2312"/>
          <w:sz w:val="32"/>
          <w:szCs w:val="32"/>
          <w:highlight w:val="none"/>
          <w:lang w:val="en-US" w:eastAsia="zh-CN"/>
        </w:rPr>
        <w:t>中</w:t>
      </w:r>
      <w:r>
        <w:rPr>
          <w:rFonts w:hint="eastAsia" w:ascii="仿宋_GB2312" w:hAnsi="仿宋_GB2312" w:eastAsia="仿宋_GB2312" w:cs="仿宋_GB2312"/>
          <w:sz w:val="32"/>
          <w:szCs w:val="32"/>
          <w:highlight w:val="none"/>
        </w:rPr>
        <w:t>抽取</w:t>
      </w:r>
      <w:r>
        <w:rPr>
          <w:rFonts w:hint="eastAsia" w:ascii="仿宋_GB2312" w:hAnsi="仿宋_GB2312" w:eastAsia="仿宋_GB2312" w:cs="仿宋_GB2312"/>
          <w:sz w:val="32"/>
          <w:szCs w:val="32"/>
          <w:lang w:eastAsia="zh-CN"/>
        </w:rPr>
        <w:t>。</w:t>
      </w:r>
    </w:p>
    <w:p w14:paraId="1592395B">
      <w:pPr>
        <w:pStyle w:val="8"/>
        <w:widowControl w:val="0"/>
        <w:adjustRightInd/>
        <w:spacing w:line="620" w:lineRule="exact"/>
        <w:ind w:left="0" w:leftChars="0"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color w:val="auto"/>
          <w:sz w:val="32"/>
          <w:szCs w:val="32"/>
          <w:lang w:val="en-US" w:eastAsia="zh-CN"/>
        </w:rPr>
        <w:t xml:space="preserve">第十四条 </w:t>
      </w:r>
      <w:r>
        <w:rPr>
          <w:rFonts w:hint="eastAsia" w:ascii="仿宋_GB2312" w:hAnsi="仿宋_GB2312" w:eastAsia="仿宋_GB2312" w:cs="仿宋_GB2312"/>
          <w:sz w:val="32"/>
          <w:szCs w:val="32"/>
          <w:lang w:val="en-US" w:eastAsia="zh-CN"/>
        </w:rPr>
        <w:t>网络评审采取线上“双盲”方式，根据专家评分高低确定各组</w:t>
      </w:r>
      <w:r>
        <w:rPr>
          <w:rFonts w:hint="eastAsia" w:ascii="仿宋_GB2312" w:hAnsi="仿宋_GB2312" w:eastAsia="仿宋_GB2312" w:cs="仿宋_GB2312"/>
          <w:b w:val="0"/>
          <w:bCs w:val="0"/>
          <w:sz w:val="32"/>
          <w:szCs w:val="32"/>
          <w:lang w:val="en-US" w:eastAsia="zh-CN"/>
        </w:rPr>
        <w:t>进入会议评审的项目清单。</w:t>
      </w:r>
    </w:p>
    <w:p w14:paraId="0C4833B7">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color w:val="auto"/>
          <w:sz w:val="32"/>
          <w:szCs w:val="32"/>
          <w:lang w:val="en-US" w:eastAsia="zh-CN"/>
        </w:rPr>
        <w:t xml:space="preserve">第十五条 </w:t>
      </w:r>
      <w:r>
        <w:rPr>
          <w:rFonts w:hint="eastAsia" w:ascii="仿宋_GB2312" w:hAnsi="仿宋_GB2312" w:eastAsia="仿宋_GB2312" w:cs="仿宋_GB2312"/>
          <w:sz w:val="32"/>
          <w:szCs w:val="32"/>
          <w:lang w:val="en-US" w:eastAsia="zh-CN"/>
        </w:rPr>
        <w:t>会议评审一般采用线下答辩方式，设置申报单位汇报、专家质询、独立评价等环节。</w:t>
      </w:r>
    </w:p>
    <w:p w14:paraId="5B04830A">
      <w:pPr>
        <w:pStyle w:val="8"/>
        <w:widowControl w:val="0"/>
        <w:adjustRightInd/>
        <w:snapToGrid/>
        <w:spacing w:line="360" w:lineRule="auto"/>
        <w:ind w:left="0" w:leftChars="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color w:val="auto"/>
          <w:sz w:val="32"/>
          <w:szCs w:val="32"/>
          <w:lang w:val="en-US" w:eastAsia="zh-CN"/>
        </w:rPr>
        <w:t xml:space="preserve">第十六条 </w:t>
      </w:r>
      <w:r>
        <w:rPr>
          <w:rFonts w:hint="eastAsia" w:ascii="仿宋_GB2312" w:hAnsi="仿宋_GB2312" w:eastAsia="仿宋_GB2312" w:cs="仿宋_GB2312"/>
          <w:sz w:val="32"/>
          <w:szCs w:val="32"/>
          <w:lang w:val="en-US" w:eastAsia="zh-CN"/>
        </w:rPr>
        <w:t>按照网络、会议两轮评审分数计算项目综合得分，根据综合得分高低确定组内排名，据此确定拟立项目。</w:t>
      </w:r>
    </w:p>
    <w:p w14:paraId="4DF906A6">
      <w:pPr>
        <w:pStyle w:val="8"/>
        <w:widowControl w:val="0"/>
        <w:adjustRightInd/>
        <w:snapToGrid/>
        <w:spacing w:line="360" w:lineRule="auto"/>
        <w:ind w:left="0" w:leftChars="0" w:firstLine="643" w:firstLineChars="20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color w:val="auto"/>
          <w:sz w:val="32"/>
          <w:szCs w:val="32"/>
          <w:lang w:val="en-US"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lang w:val="en-US" w:eastAsia="zh-CN" w:bidi="ar-SA"/>
        </w:rPr>
        <w:t>拟立项目清单经省科技厅审议，按规定进行公示，公示期为7个自然日，无异议后办理项目任务书签订、专项资金下达等后续手续；项目过程管理按照省科技厅相关文件执行。</w:t>
      </w:r>
    </w:p>
    <w:p w14:paraId="5B8DCB7E">
      <w:pPr>
        <w:widowControl w:val="0"/>
        <w:adjustRightInd w:val="0"/>
        <w:snapToGrid w:val="0"/>
        <w:spacing w:line="600" w:lineRule="exact"/>
        <w:jc w:val="center"/>
        <w:rPr>
          <w:rFonts w:hint="eastAsia" w:ascii="黑体" w:hAnsi="黑体" w:eastAsia="黑体" w:cs="黑体"/>
          <w:b w:val="0"/>
          <w:bCs/>
          <w:i w:val="0"/>
          <w:iCs/>
          <w:sz w:val="32"/>
          <w:szCs w:val="32"/>
        </w:rPr>
      </w:pPr>
      <w:r>
        <w:rPr>
          <w:rFonts w:hint="eastAsia" w:ascii="黑体" w:hAnsi="黑体" w:eastAsia="黑体" w:cs="黑体"/>
          <w:b w:val="0"/>
          <w:bCs/>
          <w:i w:val="0"/>
          <w:iCs/>
          <w:sz w:val="32"/>
          <w:szCs w:val="32"/>
        </w:rPr>
        <w:t>第四章　</w:t>
      </w:r>
      <w:r>
        <w:rPr>
          <w:rFonts w:hint="eastAsia" w:ascii="黑体" w:hAnsi="黑体" w:eastAsia="黑体" w:cs="黑体"/>
          <w:b w:val="0"/>
          <w:bCs/>
          <w:i w:val="0"/>
          <w:iCs/>
          <w:sz w:val="32"/>
          <w:szCs w:val="32"/>
          <w:lang w:val="en-US" w:eastAsia="zh-CN"/>
        </w:rPr>
        <w:t>建设</w:t>
      </w:r>
      <w:r>
        <w:rPr>
          <w:rFonts w:hint="eastAsia" w:ascii="黑体" w:hAnsi="黑体" w:eastAsia="黑体" w:cs="黑体"/>
          <w:b w:val="0"/>
          <w:bCs/>
          <w:i w:val="0"/>
          <w:iCs/>
          <w:sz w:val="32"/>
          <w:szCs w:val="32"/>
        </w:rPr>
        <w:t>运行</w:t>
      </w:r>
    </w:p>
    <w:p w14:paraId="4928BD36">
      <w:pPr>
        <w:widowControl w:val="0"/>
        <w:adjustRightInd w:val="0"/>
        <w:snapToGrid w:val="0"/>
        <w:spacing w:line="600" w:lineRule="exact"/>
        <w:ind w:firstLine="643"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 xml:space="preserve">第十八条 </w:t>
      </w:r>
      <w:r>
        <w:rPr>
          <w:rFonts w:hint="eastAsia" w:ascii="仿宋_GB2312" w:hAnsi="仿宋_GB2312" w:eastAsia="仿宋_GB2312" w:cs="仿宋_GB2312"/>
          <w:kern w:val="0"/>
          <w:sz w:val="32"/>
          <w:szCs w:val="32"/>
          <w:lang w:val="en-US" w:eastAsia="zh-CN"/>
        </w:rPr>
        <w:t>省重点实验室建设周期包括启动建设与建设运行两个阶段。启动建设期从省重点实验室获批立项之日至通过项目验收之日，</w:t>
      </w:r>
      <w:r>
        <w:rPr>
          <w:rFonts w:hint="eastAsia" w:ascii="仿宋_GB2312" w:hAnsi="仿宋_GB2312" w:eastAsia="仿宋_GB2312" w:cs="仿宋_GB2312"/>
          <w:sz w:val="32"/>
          <w:szCs w:val="32"/>
          <w:lang w:val="en-US" w:eastAsia="zh-CN"/>
        </w:rPr>
        <w:t>一般为3年</w:t>
      </w:r>
      <w:r>
        <w:rPr>
          <w:rFonts w:hint="eastAsia" w:ascii="仿宋_GB2312" w:hAnsi="仿宋_GB2312" w:eastAsia="仿宋_GB2312" w:cs="仿宋_GB2312"/>
          <w:kern w:val="0"/>
          <w:sz w:val="32"/>
          <w:szCs w:val="32"/>
          <w:lang w:val="en-US" w:eastAsia="zh-CN"/>
        </w:rPr>
        <w:t>；启动建设期结束后进入建设运行期，参加省科技厅</w:t>
      </w:r>
      <w:r>
        <w:rPr>
          <w:rFonts w:hint="eastAsia" w:ascii="仿宋_GB2312" w:hAnsi="仿宋_GB2312" w:eastAsia="仿宋_GB2312" w:cs="仿宋_GB2312"/>
          <w:kern w:val="0"/>
          <w:sz w:val="32"/>
          <w:szCs w:val="32"/>
        </w:rPr>
        <w:t>每3年</w:t>
      </w:r>
      <w:r>
        <w:rPr>
          <w:rFonts w:hint="eastAsia" w:ascii="仿宋_GB2312" w:hAnsi="仿宋_GB2312" w:eastAsia="仿宋_GB2312" w:cs="仿宋_GB2312"/>
          <w:kern w:val="0"/>
          <w:sz w:val="32"/>
          <w:szCs w:val="32"/>
          <w:lang w:val="en-US" w:eastAsia="zh-CN"/>
        </w:rPr>
        <w:t>组织的考核评估</w:t>
      </w:r>
      <w:r>
        <w:rPr>
          <w:rFonts w:hint="eastAsia" w:ascii="仿宋_GB2312" w:hAnsi="仿宋_GB2312" w:eastAsia="仿宋_GB2312" w:cs="仿宋_GB2312"/>
          <w:kern w:val="0"/>
          <w:sz w:val="32"/>
          <w:szCs w:val="32"/>
          <w:lang w:eastAsia="zh-CN"/>
        </w:rPr>
        <w:t>。</w:t>
      </w:r>
    </w:p>
    <w:p w14:paraId="17AD11E6">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十九</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省重点实验室</w:t>
      </w:r>
      <w:r>
        <w:rPr>
          <w:rFonts w:hint="eastAsia" w:ascii="仿宋_GB2312" w:hAnsi="仿宋_GB2312" w:eastAsia="仿宋_GB2312" w:cs="仿宋_GB2312"/>
          <w:sz w:val="32"/>
          <w:szCs w:val="32"/>
          <w:lang w:val="en-US" w:eastAsia="zh-CN"/>
        </w:rPr>
        <w:t>应设立</w:t>
      </w:r>
      <w:r>
        <w:rPr>
          <w:rFonts w:hint="eastAsia" w:ascii="仿宋_GB2312" w:hAnsi="仿宋_GB2312" w:eastAsia="仿宋_GB2312" w:cs="仿宋_GB2312"/>
          <w:sz w:val="32"/>
          <w:szCs w:val="32"/>
        </w:rPr>
        <w:t>学术委员会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审议省重点实验室发展战略、目标及研究方向、重大学术活动、年度工作计划和总结等事项。学术委员会委员数量一般不少于9人，每届任期3年。学术委员会每年至少召开1次会议并形成会议纪要。</w:t>
      </w:r>
    </w:p>
    <w:p w14:paraId="4EED8267">
      <w:pPr>
        <w:overflowPunct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省重点实验室主任</w:t>
      </w:r>
      <w:bookmarkStart w:id="7" w:name="_Hlk37656786"/>
      <w:r>
        <w:rPr>
          <w:rFonts w:hint="eastAsia" w:ascii="仿宋_GB2312" w:hAnsi="仿宋_GB2312" w:eastAsia="仿宋_GB2312" w:cs="仿宋_GB2312"/>
          <w:sz w:val="32"/>
          <w:szCs w:val="32"/>
        </w:rPr>
        <w:t>每届任期为3年</w:t>
      </w:r>
      <w:bookmarkEnd w:id="7"/>
      <w:r>
        <w:rPr>
          <w:rFonts w:hint="eastAsia" w:ascii="仿宋_GB2312" w:hAnsi="仿宋_GB2312" w:eastAsia="仿宋_GB2312" w:cs="仿宋_GB2312"/>
          <w:sz w:val="32"/>
          <w:szCs w:val="32"/>
        </w:rPr>
        <w:t>，连任不得超过3届，任期内须全职全时在省重点实验室工作。实验室主任因调离或其他原因不能继续任职的，依托单位应在6个月内新聘实验室主任并报省科技厅批准。　</w:t>
      </w:r>
    </w:p>
    <w:p w14:paraId="4482043E">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省重点实验室人员由固定与流动人员组成，固定人员包括研究人员、实验技术人员和管理人员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一般情况下，</w:t>
      </w:r>
      <w:r>
        <w:rPr>
          <w:rFonts w:hint="eastAsia" w:ascii="仿宋_GB2312" w:hAnsi="仿宋_GB2312" w:eastAsia="仿宋_GB2312" w:cs="仿宋_GB2312"/>
          <w:sz w:val="32"/>
          <w:szCs w:val="32"/>
        </w:rPr>
        <w:t>固定人员</w:t>
      </w:r>
      <w:r>
        <w:rPr>
          <w:rFonts w:hint="eastAsia" w:ascii="仿宋_GB2312" w:hAnsi="仿宋_GB2312" w:eastAsia="仿宋_GB2312" w:cs="仿宋_GB2312"/>
          <w:sz w:val="32"/>
          <w:szCs w:val="32"/>
          <w:lang w:val="en-US" w:eastAsia="zh-CN"/>
        </w:rPr>
        <w:t>占比应超过50%</w:t>
      </w:r>
      <w:r>
        <w:rPr>
          <w:rFonts w:hint="eastAsia" w:ascii="仿宋_GB2312" w:hAnsi="仿宋_GB2312" w:eastAsia="仿宋_GB2312" w:cs="仿宋_GB2312"/>
          <w:sz w:val="32"/>
          <w:szCs w:val="32"/>
        </w:rPr>
        <w:t>；流动人员包括访问学者、博士后研究人员、研究生等。</w:t>
      </w:r>
    </w:p>
    <w:p w14:paraId="6FD8B875">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二十二</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省重点实验室坚持创新人才管理机制，以激发科技创新活力为目标，不断完善人才引进、评价和激励政策，吸引高端人才、培养青年人才、用好现有人才，打造高水平科研人才队伍。</w:t>
      </w:r>
    </w:p>
    <w:p w14:paraId="16B0CCBF">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二十三</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省重点实验室根据科研方向、内容和任务等基本要素设置研究单元，合理配置创新资源，高效组织开展科研活动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自主设立研究课题、开放课题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并健全相应管理制度。</w:t>
      </w:r>
    </w:p>
    <w:p w14:paraId="41871AAD">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二十四</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省重点实验室统筹仪器设备的使用和管理，保障科学仪器的高效运转和开放共享，提高设备利用效率。</w:t>
      </w:r>
    </w:p>
    <w:p w14:paraId="3321D12E">
      <w:pPr>
        <w:widowControl w:val="0"/>
        <w:adjustRightInd w:val="0"/>
        <w:snapToGrid w:val="0"/>
        <w:spacing w:line="600" w:lineRule="exact"/>
        <w:ind w:firstLine="643" w:firstLineChars="200"/>
        <w:jc w:val="both"/>
        <w:rPr>
          <w:rFonts w:hint="eastAsia"/>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二十五</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省重点实验室秉持开放合作理念，积极吸引和对接国内外优势创新资源，通过访问学者、开放课题、大型科研仪器共享等多种方式开展科技合作交流。同时，加强与国家实验室、广东省实验室、全国重点实验室、“一带一路”联合实验室、粤港澳联合实验室、高级别生物安全实验室等其他科技创新平台和大科学装置的协同创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"http://www.baidu.com/link?url=EaJrt7XpCKbeMKoB7aQBIJX-jcGT4YWgXCcBaHQ68k7fV5ArQn9SalHvCkMf9tQ62lsML7AEzsEbIuRRDotU1a" \t "https://www.baidu.com/_blank"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推进粤港澳大湾区国际科技创新中心建设</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15F2820C">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二十六</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省重点实验室应规范知识产权管理工作，提高知识产权质量。由省重点实验室完成的专著、论文等研究成果，须标注省重点实验室名称，专利申请、技术成果转让、申报奖励等按国家有关规定办理。</w:t>
      </w:r>
    </w:p>
    <w:p w14:paraId="5650BC6E">
      <w:pPr>
        <w:widowControl w:val="0"/>
        <w:adjustRightInd w:val="0"/>
        <w:snapToGrid w:val="0"/>
        <w:spacing w:line="600" w:lineRule="exact"/>
        <w:ind w:firstLine="636"/>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二十七</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省重点实验室建立健全各类规章制度，明确重大决策的基本规则、决策程序、监督和责任机制，规范人事、财务、资产等重要事项管理，确保各项工作有章可循。</w:t>
      </w:r>
    </w:p>
    <w:p w14:paraId="0D7521A8">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二十八</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省重点实验室大力弘扬科学精神，加强科研诚信和科研伦理建设，恪守法规规范，建立鼓励创新、宽容失败的容错纠错机制，形成敢为人先、潜心研究、追求卓越、勇于探索的良好科研氛围。</w:t>
      </w:r>
    </w:p>
    <w:p w14:paraId="6541026C">
      <w:pPr>
        <w:widowControl w:val="0"/>
        <w:adjustRightInd w:val="0"/>
        <w:snapToGrid w:val="0"/>
        <w:spacing w:line="60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省重点实验室应开放各类创新资源，主动对接</w:t>
      </w:r>
      <w:r>
        <w:rPr>
          <w:rFonts w:hint="eastAsia" w:ascii="仿宋_GB2312" w:hAnsi="仿宋_GB2312" w:eastAsia="仿宋_GB2312" w:cs="仿宋_GB2312"/>
          <w:sz w:val="32"/>
          <w:szCs w:val="32"/>
          <w:lang w:val="en-US" w:eastAsia="zh-CN"/>
        </w:rPr>
        <w:t>广东省战略性产业集群，积极</w:t>
      </w:r>
      <w:r>
        <w:rPr>
          <w:rFonts w:hint="eastAsia" w:ascii="仿宋_GB2312" w:hAnsi="仿宋_GB2312" w:eastAsia="仿宋_GB2312" w:cs="仿宋_GB2312"/>
          <w:sz w:val="32"/>
          <w:szCs w:val="32"/>
        </w:rPr>
        <w:t>为中小企业的技术创新提供设备、人</w:t>
      </w:r>
      <w:r>
        <w:rPr>
          <w:rFonts w:ascii="仿宋_GB2312" w:hAnsi="仿宋_GB2312" w:eastAsia="仿宋_GB2312" w:cs="仿宋_GB2312"/>
          <w:sz w:val="32"/>
          <w:szCs w:val="32"/>
        </w:rPr>
        <w:t>才、技术等创新</w:t>
      </w:r>
      <w:r>
        <w:rPr>
          <w:rFonts w:hint="eastAsia" w:ascii="仿宋_GB2312" w:hAnsi="仿宋_GB2312" w:eastAsia="仿宋_GB2312" w:cs="仿宋_GB2312"/>
          <w:sz w:val="32"/>
          <w:szCs w:val="32"/>
        </w:rPr>
        <w:t>服务。</w:t>
      </w:r>
    </w:p>
    <w:p w14:paraId="5EEC63B6">
      <w:pPr>
        <w:widowControl w:val="0"/>
        <w:adjustRightInd w:val="0"/>
        <w:snapToGrid w:val="0"/>
        <w:spacing w:line="600" w:lineRule="exact"/>
        <w:ind w:firstLine="636"/>
        <w:jc w:val="both"/>
        <w:rPr>
          <w:rFonts w:hint="eastAsia"/>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三十</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依托单位应对省重点实验室进行年度考核，</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年度工作总结，</w:t>
      </w:r>
      <w:r>
        <w:rPr>
          <w:rFonts w:hint="eastAsia" w:ascii="仿宋_GB2312" w:hAnsi="仿宋_GB2312" w:eastAsia="仿宋_GB2312" w:cs="仿宋_GB2312"/>
          <w:sz w:val="32"/>
          <w:szCs w:val="32"/>
          <w:lang w:val="en-US" w:eastAsia="zh-CN"/>
        </w:rPr>
        <w:t>按时报送</w:t>
      </w:r>
      <w:r>
        <w:rPr>
          <w:rFonts w:hint="eastAsia" w:ascii="仿宋_GB2312" w:hAnsi="仿宋_GB2312" w:eastAsia="仿宋_GB2312" w:cs="仿宋_GB2312"/>
          <w:sz w:val="32"/>
          <w:szCs w:val="32"/>
        </w:rPr>
        <w:t>省科技厅。  </w:t>
      </w:r>
    </w:p>
    <w:p w14:paraId="591EC270">
      <w:pPr>
        <w:pStyle w:val="5"/>
        <w:ind w:firstLine="643" w:firstLineChars="200"/>
        <w:rPr>
          <w:rFonts w:hint="eastAsia"/>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依托单位停业、破产、撤销或主营业务发生变化，不能保障省重点实验室正常运行的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撤销其省重点实验室资格。</w:t>
      </w:r>
    </w:p>
    <w:p w14:paraId="1F16C49B">
      <w:pPr>
        <w:widowControl w:val="0"/>
        <w:adjustRightInd w:val="0"/>
        <w:snapToGrid w:val="0"/>
        <w:spacing w:line="600" w:lineRule="exact"/>
        <w:jc w:val="center"/>
        <w:rPr>
          <w:rFonts w:hint="eastAsia" w:ascii="黑体" w:hAnsi="黑体" w:eastAsia="黑体" w:cs="黑体"/>
          <w:b w:val="0"/>
          <w:bCs/>
          <w:iCs/>
          <w:sz w:val="32"/>
          <w:szCs w:val="32"/>
        </w:rPr>
      </w:pPr>
      <w:r>
        <w:rPr>
          <w:rFonts w:hint="eastAsia" w:ascii="黑体" w:hAnsi="黑体" w:eastAsia="黑体" w:cs="黑体"/>
          <w:bCs/>
          <w:iCs/>
          <w:sz w:val="32"/>
          <w:szCs w:val="32"/>
        </w:rPr>
        <w:t>第五章　考核与评估</w:t>
      </w:r>
    </w:p>
    <w:p w14:paraId="01BD65C2">
      <w:pPr>
        <w:widowControl w:val="0"/>
        <w:adjustRightInd w:val="0"/>
        <w:snapToGrid w:val="0"/>
        <w:spacing w:line="600" w:lineRule="exact"/>
        <w:ind w:firstLine="643" w:firstLineChars="200"/>
        <w:jc w:val="both"/>
        <w:rPr>
          <w:rFonts w:hint="eastAsia"/>
        </w:rPr>
      </w:pPr>
      <w:r>
        <w:rPr>
          <w:rFonts w:hint="eastAsia" w:ascii="仿宋_GB2312" w:hAnsi="仿宋_GB2312" w:eastAsia="仿宋_GB2312" w:cs="仿宋_GB2312"/>
          <w:b/>
          <w:bCs/>
          <w:sz w:val="32"/>
          <w:szCs w:val="32"/>
          <w:lang w:val="en-US" w:eastAsia="zh-CN"/>
        </w:rPr>
        <w:t xml:space="preserve">第三十二条 </w:t>
      </w:r>
      <w:r>
        <w:rPr>
          <w:rFonts w:hint="eastAsia" w:ascii="仿宋_GB2312" w:hAnsi="仿宋_GB2312" w:eastAsia="仿宋_GB2312" w:cs="仿宋_GB2312"/>
          <w:b w:val="0"/>
          <w:sz w:val="32"/>
          <w:szCs w:val="32"/>
          <w:lang w:val="en-US" w:eastAsia="zh-CN"/>
        </w:rPr>
        <w:t>进入建设运行期的省重点实验室应参加</w:t>
      </w:r>
      <w:r>
        <w:rPr>
          <w:rFonts w:hint="eastAsia" w:ascii="仿宋_GB2312" w:hAnsi="仿宋_GB2312" w:eastAsia="仿宋_GB2312" w:cs="仿宋_GB2312"/>
          <w:sz w:val="32"/>
          <w:szCs w:val="32"/>
        </w:rPr>
        <w:t>省科技厅定期组织</w:t>
      </w:r>
      <w:r>
        <w:rPr>
          <w:rFonts w:hint="eastAsia" w:ascii="仿宋_GB2312" w:hAnsi="仿宋_GB2312" w:eastAsia="仿宋_GB2312" w:cs="仿宋_GB2312"/>
          <w:sz w:val="32"/>
          <w:szCs w:val="32"/>
          <w:lang w:val="en-US" w:eastAsia="zh-CN"/>
        </w:rPr>
        <w:t>的考核</w:t>
      </w:r>
      <w:r>
        <w:rPr>
          <w:rFonts w:hint="eastAsia" w:ascii="仿宋_GB2312" w:hAnsi="仿宋_GB2312" w:eastAsia="仿宋_GB2312" w:cs="仿宋_GB2312"/>
          <w:sz w:val="32"/>
          <w:szCs w:val="32"/>
        </w:rPr>
        <w:t>评估，实行优胜劣汰。</w:t>
      </w:r>
    </w:p>
    <w:p w14:paraId="7F4DB191">
      <w:pPr>
        <w:spacing w:line="600" w:lineRule="exact"/>
        <w:ind w:firstLine="643" w:firstLineChars="200"/>
        <w:jc w:val="both"/>
        <w:rPr>
          <w:rFonts w:hint="eastAsia"/>
          <w:color w:val="auto"/>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三十三</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省重点实验室评估指标体系主要包括成果贡献、研究水平、人才队伍</w:t>
      </w:r>
      <w:r>
        <w:rPr>
          <w:rFonts w:hint="eastAsia" w:ascii="仿宋_GB2312" w:hAnsi="仿宋_GB2312" w:eastAsia="仿宋_GB2312" w:cs="仿宋_GB2312"/>
          <w:color w:val="auto"/>
          <w:sz w:val="32"/>
          <w:szCs w:val="32"/>
          <w:highlight w:val="none"/>
          <w:lang w:val="en-US" w:eastAsia="zh-CN"/>
        </w:rPr>
        <w:t>及</w:t>
      </w:r>
      <w:r>
        <w:rPr>
          <w:rFonts w:hint="eastAsia" w:ascii="Times New Roman" w:hAnsi="Times New Roman" w:eastAsia="仿宋_GB2312" w:cs="Times New Roman"/>
          <w:color w:val="auto"/>
          <w:kern w:val="0"/>
          <w:sz w:val="32"/>
          <w:szCs w:val="32"/>
          <w:highlight w:val="none"/>
          <w:lang w:val="en-US" w:eastAsia="zh-CN"/>
        </w:rPr>
        <w:t>青年人才培养</w:t>
      </w:r>
      <w:r>
        <w:rPr>
          <w:rFonts w:hint="eastAsia" w:ascii="仿宋_GB2312" w:hAnsi="仿宋_GB2312" w:eastAsia="仿宋_GB2312" w:cs="仿宋_GB2312"/>
          <w:color w:val="auto"/>
          <w:sz w:val="32"/>
          <w:szCs w:val="32"/>
          <w:highlight w:val="none"/>
        </w:rPr>
        <w:t>、运行管理与开放交流、创新监测、</w:t>
      </w:r>
      <w:r>
        <w:rPr>
          <w:rFonts w:hint="eastAsia" w:ascii="仿宋_GB2312" w:hAnsi="仿宋_GB2312" w:eastAsia="仿宋_GB2312" w:cs="仿宋_GB2312"/>
          <w:color w:val="auto"/>
          <w:spacing w:val="0"/>
          <w:sz w:val="32"/>
          <w:szCs w:val="32"/>
          <w:highlight w:val="none"/>
        </w:rPr>
        <w:t>绩效目标</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主要</w:t>
      </w:r>
      <w:r>
        <w:rPr>
          <w:rFonts w:hint="eastAsia" w:ascii="仿宋_GB2312" w:hAnsi="仿宋_GB2312" w:eastAsia="仿宋_GB2312" w:cs="仿宋_GB2312"/>
          <w:color w:val="auto"/>
          <w:sz w:val="32"/>
          <w:szCs w:val="32"/>
          <w:highlight w:val="none"/>
        </w:rPr>
        <w:t>内容。</w:t>
      </w:r>
    </w:p>
    <w:p w14:paraId="456EE498">
      <w:pPr>
        <w:spacing w:line="60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基础研究类省重点实验室重点评价原始创新能力、国际科学前沿竞争力、满足国家重大需求的能力；技术攻关类省重点实验室重点评价行业共性关键技术研发、成果转化应用能力、对行业技术进步的带动作用。</w:t>
      </w:r>
    </w:p>
    <w:p w14:paraId="7F1D8F22">
      <w:pPr>
        <w:widowControl w:val="0"/>
        <w:adjustRightInd w:val="0"/>
        <w:snapToGrid w:val="0"/>
        <w:spacing w:line="60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三十四</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评估采取定量评估与定性评议、书面审查与现场考察相结合的办法，探索“绩效导向、同行评议”等创新模式。</w:t>
      </w:r>
    </w:p>
    <w:p w14:paraId="5BEC638A">
      <w:pPr>
        <w:widowControl w:val="0"/>
        <w:adjustRightInd w:val="0"/>
        <w:snapToGrid w:val="0"/>
        <w:spacing w:line="60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三十五</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省重点实验室评估结果分为优秀、良好、合格、基本合格和不合格五个等级。</w:t>
      </w:r>
    </w:p>
    <w:p w14:paraId="18EE9FC9">
      <w:pPr>
        <w:widowControl w:val="0"/>
        <w:adjustRightInd w:val="0"/>
        <w:snapToGrid w:val="0"/>
        <w:spacing w:line="600" w:lineRule="exact"/>
        <w:ind w:firstLine="64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w:t>
      </w:r>
      <w:r>
        <w:rPr>
          <w:rFonts w:hint="eastAsia" w:ascii="仿宋_GB2312" w:hAnsi="仿宋_GB2312" w:eastAsia="仿宋_GB2312" w:cs="仿宋_GB2312"/>
          <w:b/>
          <w:sz w:val="32"/>
          <w:szCs w:val="32"/>
          <w:highlight w:val="none"/>
          <w:lang w:val="en-US" w:eastAsia="zh-CN"/>
        </w:rPr>
        <w:t>三十六</w:t>
      </w:r>
      <w:r>
        <w:rPr>
          <w:rFonts w:hint="eastAsia" w:ascii="仿宋_GB2312" w:hAnsi="仿宋_GB2312" w:eastAsia="仿宋_GB2312" w:cs="仿宋_GB2312"/>
          <w:b/>
          <w:sz w:val="32"/>
          <w:szCs w:val="32"/>
          <w:highlight w:val="none"/>
        </w:rPr>
        <w:t>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考核评估结果为优秀、良好等级的基础研究类省重点实验室资助强度分别为450万元/家、300万元/家，均分三年滚动支持；考核评估结果为优秀、良好等级的技术攻关类省重点实验室资助强度分别为100万元/家、50万元/家，一次性拨付。两者均采取专项资金</w:t>
      </w:r>
      <w:r>
        <w:rPr>
          <w:rFonts w:hint="default" w:ascii="Times New Roman" w:hAnsi="Times New Roman" w:eastAsia="仿宋_GB2312" w:cs="Times New Roman"/>
          <w:color w:val="000000"/>
          <w:sz w:val="32"/>
          <w:szCs w:val="32"/>
          <w:highlight w:val="none"/>
          <w:lang w:val="en-US" w:eastAsia="zh-CN"/>
        </w:rPr>
        <w:t>事后奖励（补助）方式</w:t>
      </w:r>
      <w:r>
        <w:rPr>
          <w:rFonts w:hint="eastAsia" w:ascii="Times New Roman" w:hAnsi="Times New Roman" w:eastAsia="仿宋_GB2312" w:cs="Times New Roman"/>
          <w:color w:val="000000"/>
          <w:sz w:val="32"/>
          <w:szCs w:val="32"/>
          <w:highlight w:val="none"/>
          <w:lang w:val="en-US" w:eastAsia="zh-CN"/>
        </w:rPr>
        <w:t>并签订项目任务书，项目过程管理按照省科技厅相关文件执行</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评估合格的继续列入省重点实验室序列；评估基本合格的，需限期整改，整改期1年；评估不合格的，不再列入省重点实验室序列。省重点实验室评估</w:t>
      </w:r>
      <w:r>
        <w:rPr>
          <w:rFonts w:hint="eastAsia" w:ascii="仿宋_GB2312" w:hAnsi="仿宋_GB2312" w:eastAsia="仿宋_GB2312" w:cs="仿宋_GB2312"/>
          <w:sz w:val="32"/>
          <w:szCs w:val="32"/>
          <w:highlight w:val="none"/>
          <w:lang w:val="en-US" w:eastAsia="zh-CN"/>
        </w:rPr>
        <w:t>结果</w:t>
      </w:r>
      <w:r>
        <w:rPr>
          <w:rFonts w:hint="eastAsia" w:ascii="仿宋_GB2312" w:hAnsi="仿宋_GB2312" w:eastAsia="仿宋_GB2312" w:cs="仿宋_GB2312"/>
          <w:sz w:val="32"/>
          <w:szCs w:val="32"/>
          <w:highlight w:val="none"/>
        </w:rPr>
        <w:t>按有关规定予以公布。</w:t>
      </w:r>
    </w:p>
    <w:p w14:paraId="3D5E3D2C">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iCs/>
          <w:sz w:val="32"/>
          <w:szCs w:val="32"/>
          <w:lang w:val="en-US" w:eastAsia="zh-CN"/>
        </w:rPr>
      </w:pPr>
      <w:r>
        <w:rPr>
          <w:rFonts w:hint="eastAsia" w:ascii="黑体" w:hAnsi="黑体" w:eastAsia="黑体" w:cs="黑体"/>
          <w:b w:val="0"/>
          <w:bCs/>
          <w:iCs/>
          <w:sz w:val="32"/>
          <w:szCs w:val="32"/>
          <w:lang w:val="en-US" w:eastAsia="zh-CN"/>
        </w:rPr>
        <w:t>第六章 监督检查</w:t>
      </w:r>
    </w:p>
    <w:p w14:paraId="72C5536F">
      <w:pPr>
        <w:keepNext w:val="0"/>
        <w:keepLines w:val="0"/>
        <w:pageBreakBefore w:val="0"/>
        <w:widowControl w:val="0"/>
        <w:numPr>
          <w:ilvl w:val="0"/>
          <w:numId w:val="0"/>
        </w:numPr>
        <w:tabs>
          <w:tab w:val="left" w:pos="0"/>
          <w:tab w:val="left" w:pos="3990"/>
        </w:tabs>
        <w:kinsoku/>
        <w:wordWrap/>
        <w:overflowPunct/>
        <w:topLinePunct w:val="0"/>
        <w:autoSpaceDE/>
        <w:autoSpaceDN/>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第三十七条 </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严重违反国家法律、行政法规或地方性法规的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color w:val="auto"/>
          <w:sz w:val="32"/>
          <w:szCs w:val="32"/>
          <w:lang w:val="en-US" w:eastAsia="zh-CN"/>
        </w:rPr>
        <w:t>省重点实验室</w:t>
      </w:r>
      <w:r>
        <w:rPr>
          <w:rFonts w:hint="eastAsia" w:ascii="仿宋_GB2312" w:hAnsi="仿宋_GB2312" w:eastAsia="仿宋_GB2312" w:cs="仿宋_GB2312"/>
          <w:sz w:val="32"/>
          <w:szCs w:val="32"/>
          <w:lang w:val="en-US" w:eastAsia="zh-CN"/>
        </w:rPr>
        <w:t>专项经费申报、管理、使用过程中存在虚报、截留、挤占、挪用等违法违规行为；</w:t>
      </w:r>
      <w:r>
        <w:rPr>
          <w:rFonts w:hint="eastAsia" w:ascii="仿宋_GB2312" w:hAnsi="仿宋_GB2312" w:eastAsia="仿宋_GB2312" w:cs="仿宋_GB2312"/>
          <w:sz w:val="32"/>
          <w:szCs w:val="32"/>
        </w:rPr>
        <w:t>发生重大安全事故或质量事故造成严重不良影响的</w:t>
      </w:r>
      <w:r>
        <w:rPr>
          <w:rFonts w:hint="eastAsia" w:ascii="仿宋_GB2312" w:hAnsi="仿宋_GB2312" w:eastAsia="仿宋_GB2312" w:cs="仿宋_GB2312"/>
          <w:color w:val="auto"/>
          <w:sz w:val="32"/>
          <w:szCs w:val="32"/>
          <w:lang w:val="en-US" w:eastAsia="zh-CN"/>
        </w:rPr>
        <w:t>个人、省重点实验室</w:t>
      </w:r>
      <w:r>
        <w:rPr>
          <w:rFonts w:hint="eastAsia" w:ascii="仿宋_GB2312" w:hAnsi="仿宋_GB2312" w:eastAsia="仿宋_GB2312" w:cs="仿宋_GB2312"/>
          <w:sz w:val="32"/>
          <w:szCs w:val="32"/>
          <w:lang w:val="en-US" w:eastAsia="zh-CN"/>
        </w:rPr>
        <w:t>、依托</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sz w:val="32"/>
          <w:szCs w:val="32"/>
          <w:lang w:val="en-US" w:eastAsia="zh-CN"/>
        </w:rPr>
        <w:t>按照《中华人民共和国预算法》《财政违法行为处罚处分条例》《</w:t>
      </w:r>
      <w:r>
        <w:rPr>
          <w:rFonts w:hint="eastAsia" w:ascii="仿宋_GB2312" w:hAnsi="仿宋_GB2312" w:eastAsia="仿宋_GB2312" w:cs="仿宋_GB2312"/>
          <w:b w:val="0"/>
          <w:bCs w:val="0"/>
          <w:sz w:val="32"/>
          <w:szCs w:val="32"/>
        </w:rPr>
        <w:t>广东省安全生产条例</w:t>
      </w:r>
      <w:r>
        <w:rPr>
          <w:rFonts w:hint="eastAsia" w:ascii="仿宋_GB2312" w:hAnsi="仿宋_GB2312" w:eastAsia="仿宋_GB2312" w:cs="仿宋_GB2312"/>
          <w:sz w:val="32"/>
          <w:szCs w:val="32"/>
          <w:lang w:val="en-US" w:eastAsia="zh-CN"/>
        </w:rPr>
        <w:t>》等法律法规及相关规定进行严肃处理，涉及违法犯罪的，移送司法机关处理。</w:t>
      </w:r>
    </w:p>
    <w:p w14:paraId="79BEA0CF">
      <w:pPr>
        <w:widowControl w:val="0"/>
        <w:numPr>
          <w:ilvl w:val="0"/>
          <w:numId w:val="0"/>
        </w:numPr>
        <w:tabs>
          <w:tab w:val="left" w:pos="0"/>
          <w:tab w:val="left" w:pos="3990"/>
        </w:tabs>
        <w:adjustRightInd w:val="0"/>
        <w:snapToGrid w:val="0"/>
        <w:spacing w:line="60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第三十八条 </w:t>
      </w:r>
      <w:r>
        <w:rPr>
          <w:rFonts w:hint="eastAsia" w:ascii="仿宋_GB2312" w:hAnsi="仿宋_GB2312" w:eastAsia="仿宋_GB2312" w:cs="仿宋_GB2312"/>
          <w:b w:val="0"/>
          <w:bCs w:val="0"/>
          <w:sz w:val="32"/>
          <w:szCs w:val="32"/>
          <w:lang w:val="en-US" w:eastAsia="zh-CN"/>
        </w:rPr>
        <w:t>为</w:t>
      </w:r>
      <w:r>
        <w:rPr>
          <w:rFonts w:hint="eastAsia" w:ascii="仿宋_GB2312" w:hAnsi="仿宋_GB2312" w:eastAsia="仿宋_GB2312" w:cs="仿宋_GB2312"/>
          <w:sz w:val="32"/>
          <w:szCs w:val="32"/>
        </w:rPr>
        <w:t>营造良好科技创新生态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强化科研诚信管理。对项目承担单位、科研人员、第三方专业机构、评审专家、咨询专家等各类主体在科研经费管理和使用过程中出现失信行为的；出现</w:t>
      </w:r>
      <w:r>
        <w:rPr>
          <w:rFonts w:hint="eastAsia" w:ascii="仿宋_GB2312" w:hAnsi="仿宋_GB2312" w:eastAsia="仿宋_GB2312" w:cs="仿宋_GB2312"/>
          <w:sz w:val="32"/>
          <w:szCs w:val="32"/>
        </w:rPr>
        <w:t>学术不端或科研失信等问题，造成不良影响的</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立项申报或考核评估中存</w:t>
      </w:r>
      <w:r>
        <w:rPr>
          <w:rFonts w:hint="eastAsia" w:ascii="仿宋_GB2312" w:hAnsi="仿宋_GB2312" w:eastAsia="仿宋_GB2312" w:cs="仿宋_GB2312"/>
          <w:sz w:val="32"/>
          <w:szCs w:val="32"/>
          <w:lang w:val="en-US" w:eastAsia="zh-CN"/>
        </w:rPr>
        <w:t>在严重弄虚作假行为的等情况进行记录、追责和惩戒，按照《广东省科技计划项目科研诚信管理办法》有关规定处理。</w:t>
      </w:r>
    </w:p>
    <w:p w14:paraId="71E29420">
      <w:pPr>
        <w:spacing w:line="600" w:lineRule="exact"/>
        <w:jc w:val="center"/>
        <w:rPr>
          <w:rFonts w:hint="eastAsia" w:ascii="黑体" w:hAnsi="黑体" w:eastAsia="黑体" w:cs="黑体"/>
          <w:bCs/>
          <w:iCs/>
          <w:sz w:val="32"/>
          <w:szCs w:val="32"/>
        </w:rPr>
      </w:pPr>
      <w:r>
        <w:rPr>
          <w:rFonts w:hint="eastAsia" w:ascii="黑体" w:hAnsi="黑体" w:eastAsia="黑体" w:cs="黑体"/>
          <w:bCs/>
          <w:iCs/>
          <w:sz w:val="32"/>
          <w:szCs w:val="32"/>
        </w:rPr>
        <w:t>第</w:t>
      </w:r>
      <w:r>
        <w:rPr>
          <w:rFonts w:hint="eastAsia" w:ascii="黑体" w:hAnsi="黑体" w:eastAsia="黑体" w:cs="黑体"/>
          <w:bCs/>
          <w:iCs/>
          <w:sz w:val="32"/>
          <w:szCs w:val="32"/>
          <w:lang w:val="en-US" w:eastAsia="zh-CN"/>
        </w:rPr>
        <w:t>七</w:t>
      </w:r>
      <w:r>
        <w:rPr>
          <w:rFonts w:hint="eastAsia" w:ascii="黑体" w:hAnsi="黑体" w:eastAsia="黑体" w:cs="黑体"/>
          <w:bCs/>
          <w:iCs/>
          <w:sz w:val="32"/>
          <w:szCs w:val="32"/>
        </w:rPr>
        <w:t>章  　附　则</w:t>
      </w:r>
    </w:p>
    <w:p w14:paraId="489E4B44">
      <w:pPr>
        <w:widowControl w:val="0"/>
        <w:adjustRightInd w:val="0"/>
        <w:snapToGrid w:val="0"/>
        <w:spacing w:line="600" w:lineRule="exact"/>
        <w:ind w:firstLine="636"/>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三十九</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省重点实验室统一命名为“广东省××重点实验室”，英文名称为“Guangdong Provincial Key Laboratory of ××”。</w:t>
      </w:r>
    </w:p>
    <w:p w14:paraId="42345A5B">
      <w:pPr>
        <w:widowControl w:val="0"/>
        <w:adjustRightInd w:val="0"/>
        <w:snapToGrid w:val="0"/>
        <w:spacing w:line="600" w:lineRule="exact"/>
        <w:ind w:firstLine="640"/>
        <w:jc w:val="both"/>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四十</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本办法有效期五年，由省科技厅负责解释。</w:t>
      </w:r>
    </w:p>
    <w:p w14:paraId="1FD2B66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both"/>
        <w:rPr>
          <w:rFonts w:hint="eastAsia" w:ascii="方正公文小标宋" w:hAnsi="方正公文小标宋" w:eastAsia="方正公文小标宋" w:cs="方正公文小标宋"/>
          <w:b w:val="0"/>
          <w:bCs/>
          <w:i w:val="0"/>
          <w:caps w:val="0"/>
          <w:color w:val="000000"/>
          <w:spacing w:val="0"/>
          <w:kern w:val="0"/>
          <w:sz w:val="32"/>
          <w:szCs w:val="32"/>
          <w:lang w:val="en-US" w:eastAsia="zh-CN" w:bidi="ar"/>
        </w:rPr>
      </w:pPr>
    </w:p>
    <w:p w14:paraId="72B940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firstLine="0"/>
        <w:jc w:val="both"/>
        <w:textAlignment w:val="auto"/>
        <w:rPr>
          <w:rFonts w:hint="eastAsia" w:ascii="方正公文小标宋" w:hAnsi="方正公文小标宋" w:eastAsia="方正公文小标宋" w:cs="方正公文小标宋"/>
          <w:b/>
          <w:bCs w:val="0"/>
          <w:i w:val="0"/>
          <w:caps w:val="0"/>
          <w:color w:val="000000"/>
          <w:spacing w:val="0"/>
          <w:kern w:val="0"/>
          <w:sz w:val="32"/>
          <w:szCs w:val="32"/>
          <w:lang w:val="en-US" w:eastAsia="zh-CN" w:bidi="ar"/>
        </w:rPr>
      </w:pPr>
      <w:r>
        <w:rPr>
          <w:rFonts w:hint="eastAsia" w:ascii="方正公文小标宋" w:hAnsi="方正公文小标宋" w:eastAsia="方正公文小标宋" w:cs="方正公文小标宋"/>
          <w:b w:val="0"/>
          <w:bCs/>
          <w:i w:val="0"/>
          <w:caps w:val="0"/>
          <w:color w:val="000000"/>
          <w:spacing w:val="0"/>
          <w:kern w:val="0"/>
          <w:sz w:val="32"/>
          <w:szCs w:val="32"/>
          <w:lang w:val="en-US" w:eastAsia="zh-CN" w:bidi="ar"/>
        </w:rPr>
        <w:t>附件2</w:t>
      </w:r>
    </w:p>
    <w:p w14:paraId="3B355DC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0"/>
        <w:jc w:val="center"/>
        <w:rPr>
          <w:rFonts w:hint="eastAsia" w:ascii="方正公文小标宋" w:hAnsi="方正公文小标宋" w:eastAsia="方正公文小标宋" w:cs="方正公文小标宋"/>
          <w:b w:val="0"/>
          <w:bCs/>
          <w:i w:val="0"/>
          <w:caps w:val="0"/>
          <w:color w:val="000000"/>
          <w:spacing w:val="0"/>
          <w:kern w:val="0"/>
          <w:sz w:val="44"/>
          <w:szCs w:val="44"/>
          <w:lang w:val="en-US" w:eastAsia="zh-CN" w:bidi="ar"/>
        </w:rPr>
      </w:pPr>
      <w:r>
        <w:rPr>
          <w:rFonts w:hint="eastAsia" w:ascii="方正公文小标宋" w:hAnsi="方正公文小标宋" w:eastAsia="方正公文小标宋" w:cs="方正公文小标宋"/>
          <w:b w:val="0"/>
          <w:bCs/>
          <w:i w:val="0"/>
          <w:caps w:val="0"/>
          <w:color w:val="000000"/>
          <w:spacing w:val="0"/>
          <w:kern w:val="0"/>
          <w:sz w:val="44"/>
          <w:szCs w:val="44"/>
          <w:lang w:val="en-US" w:eastAsia="zh-CN" w:bidi="ar"/>
        </w:rPr>
        <w:t>农业部重点实验室管理办法</w:t>
      </w:r>
    </w:p>
    <w:p w14:paraId="6153A9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jc w:val="center"/>
        <w:textAlignment w:val="auto"/>
        <w:rPr>
          <w:rFonts w:hint="eastAsia" w:ascii="Times New Roman" w:hAnsi="Times New Roman" w:eastAsia="仿宋" w:cs="宋体"/>
          <w:i w:val="0"/>
          <w:caps w:val="0"/>
          <w:color w:val="000000"/>
          <w:spacing w:val="0"/>
          <w:kern w:val="0"/>
          <w:sz w:val="32"/>
          <w:szCs w:val="24"/>
          <w:lang w:val="en-US" w:eastAsia="zh-CN" w:bidi="ar"/>
        </w:rPr>
      </w:pPr>
      <w:r>
        <w:rPr>
          <w:rFonts w:hint="eastAsia" w:ascii="Times New Roman" w:hAnsi="Times New Roman" w:eastAsia="仿宋" w:cs="宋体"/>
          <w:i w:val="0"/>
          <w:caps w:val="0"/>
          <w:color w:val="000000"/>
          <w:spacing w:val="0"/>
          <w:kern w:val="0"/>
          <w:sz w:val="32"/>
          <w:szCs w:val="24"/>
          <w:lang w:val="en-US" w:eastAsia="zh-CN" w:bidi="ar"/>
        </w:rPr>
        <w:t>（农科教发〔2017〕11号）</w:t>
      </w:r>
    </w:p>
    <w:p w14:paraId="0FDBCA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Times New Roman" w:hAnsi="Times New Roman" w:eastAsia="仿宋" w:cs="微软雅黑"/>
          <w:i w:val="0"/>
          <w:caps w:val="0"/>
          <w:color w:val="000000"/>
          <w:spacing w:val="0"/>
          <w:sz w:val="32"/>
          <w:szCs w:val="24"/>
        </w:rPr>
      </w:pPr>
      <w:r>
        <w:rPr>
          <w:rFonts w:ascii="Times New Roman" w:hAnsi="Times New Roman" w:eastAsia="仿宋" w:cs="楷体_GB2312"/>
          <w:b/>
          <w:i w:val="0"/>
          <w:caps w:val="0"/>
          <w:color w:val="000000"/>
          <w:spacing w:val="0"/>
          <w:kern w:val="0"/>
          <w:sz w:val="32"/>
          <w:szCs w:val="24"/>
          <w:lang w:val="en-US" w:eastAsia="zh-CN" w:bidi="ar"/>
        </w:rPr>
        <w:t>第一章</w:t>
      </w:r>
      <w:r>
        <w:rPr>
          <w:rFonts w:hint="default" w:ascii="Times New Roman" w:hAnsi="Times New Roman" w:eastAsia="仿宋" w:cs="楷体_GB2312"/>
          <w:b/>
          <w:i w:val="0"/>
          <w:caps w:val="0"/>
          <w:color w:val="000000"/>
          <w:spacing w:val="0"/>
          <w:kern w:val="0"/>
          <w:sz w:val="32"/>
          <w:szCs w:val="24"/>
          <w:lang w:val="en-US" w:eastAsia="zh-CN" w:bidi="ar"/>
        </w:rPr>
        <w:t>  总  则</w:t>
      </w:r>
    </w:p>
    <w:p w14:paraId="0FF71D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第一条</w:t>
      </w:r>
      <w:r>
        <w:rPr>
          <w:rFonts w:hint="eastAsia" w:ascii="Times New Roman" w:hAnsi="Times New Roman" w:eastAsia="仿宋" w:cs="宋体"/>
          <w:i w:val="0"/>
          <w:caps w:val="0"/>
          <w:color w:val="000000"/>
          <w:spacing w:val="0"/>
          <w:kern w:val="0"/>
          <w:sz w:val="32"/>
          <w:szCs w:val="24"/>
          <w:lang w:val="en-US" w:eastAsia="zh-CN" w:bidi="ar"/>
        </w:rPr>
        <w:t>  为贯彻落实创新驱动发展战略，规范和加强农业部重点实验室的建设和运行管理，充分发挥科技支撑引领现代农业发展的重要作用，制定本办法。</w:t>
      </w:r>
    </w:p>
    <w:p w14:paraId="6B693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第二条</w:t>
      </w:r>
      <w:r>
        <w:rPr>
          <w:rFonts w:hint="eastAsia" w:ascii="Times New Roman" w:hAnsi="Times New Roman" w:eastAsia="仿宋" w:cs="宋体"/>
          <w:i w:val="0"/>
          <w:caps w:val="0"/>
          <w:color w:val="000000"/>
          <w:spacing w:val="0"/>
          <w:kern w:val="0"/>
          <w:sz w:val="32"/>
          <w:szCs w:val="24"/>
          <w:lang w:val="en-US" w:eastAsia="zh-CN" w:bidi="ar"/>
        </w:rPr>
        <w:t>  农业部重点实验室是国家农业科技创新体系的重要组成部分，是组织农业科技协同创新、汇聚和培养优秀科技人才的重要基地。其主要任务是开展农业应用基础研究和前沿技术创新，解决制约产业发展的重大、关键和共性科技问题，承担基础性农业科技工作。</w:t>
      </w:r>
    </w:p>
    <w:p w14:paraId="2D2378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第三条</w:t>
      </w:r>
      <w:r>
        <w:rPr>
          <w:rFonts w:hint="eastAsia" w:ascii="Times New Roman" w:hAnsi="Times New Roman" w:eastAsia="仿宋" w:cs="宋体"/>
          <w:i w:val="0"/>
          <w:caps w:val="0"/>
          <w:color w:val="000000"/>
          <w:spacing w:val="0"/>
          <w:kern w:val="0"/>
          <w:sz w:val="32"/>
          <w:szCs w:val="24"/>
          <w:lang w:val="en-US" w:eastAsia="zh-CN" w:bidi="ar"/>
        </w:rPr>
        <w:t>  农业部重点实验室按照学科领域、产业需求和区域特点进行规划布局，以学科群为单元进行建设，包括综合性重点实验室、专业性（区域性）重点实验室和科学观测实验站三个层次（以下简称“重点实验室”）。基本组织思路是以综合性重点实验室为龙头，专业性（区域性）重点实验室为骨干，科学观测实验站为延伸，建立层次清晰、分工明确、布局合理的学科群，逐步形成支撑和引领现代农业发展的重点实验室体系。</w:t>
      </w:r>
    </w:p>
    <w:p w14:paraId="3C2B0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第四条</w:t>
      </w:r>
      <w:r>
        <w:rPr>
          <w:rFonts w:hint="eastAsia" w:ascii="Times New Roman" w:hAnsi="Times New Roman" w:eastAsia="仿宋" w:cs="宋体"/>
          <w:i w:val="0"/>
          <w:caps w:val="0"/>
          <w:color w:val="000000"/>
          <w:spacing w:val="0"/>
          <w:kern w:val="0"/>
          <w:sz w:val="32"/>
          <w:szCs w:val="24"/>
          <w:lang w:val="en-US" w:eastAsia="zh-CN" w:bidi="ar"/>
        </w:rPr>
        <w:t>  重点实验室按照科学规划、合理分工、稳定支持、定期考评的原则，进行分类建设和管理。</w:t>
      </w:r>
    </w:p>
    <w:p w14:paraId="3B1884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第五条</w:t>
      </w:r>
      <w:r>
        <w:rPr>
          <w:rFonts w:hint="eastAsia" w:ascii="Times New Roman" w:hAnsi="Times New Roman" w:eastAsia="仿宋" w:cs="宋体"/>
          <w:i w:val="0"/>
          <w:caps w:val="0"/>
          <w:color w:val="000000"/>
          <w:spacing w:val="0"/>
          <w:kern w:val="0"/>
          <w:sz w:val="32"/>
          <w:szCs w:val="24"/>
          <w:lang w:val="en-US" w:eastAsia="zh-CN" w:bidi="ar"/>
        </w:rPr>
        <w:t>  重点实验室实行“开放、流动、合作、共享”的运行机制。</w:t>
      </w:r>
    </w:p>
    <w:p w14:paraId="7A730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第六条</w:t>
      </w:r>
      <w:r>
        <w:rPr>
          <w:rFonts w:hint="eastAsia" w:ascii="Times New Roman" w:hAnsi="Times New Roman" w:eastAsia="仿宋" w:cs="宋体"/>
          <w:i w:val="0"/>
          <w:caps w:val="0"/>
          <w:color w:val="000000"/>
          <w:spacing w:val="0"/>
          <w:kern w:val="0"/>
          <w:sz w:val="32"/>
          <w:szCs w:val="24"/>
          <w:lang w:val="en-US" w:eastAsia="zh-CN" w:bidi="ar"/>
        </w:rPr>
        <w:t>  农业部支持重点实验室创新能力建设和协同创新活动；重点实验室应积极承担各级各类科技计划任务。</w:t>
      </w:r>
    </w:p>
    <w:p w14:paraId="30224D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Times New Roman" w:hAnsi="Times New Roman" w:eastAsia="仿宋" w:cs="微软雅黑"/>
          <w:i w:val="0"/>
          <w:caps w:val="0"/>
          <w:color w:val="000000"/>
          <w:spacing w:val="0"/>
          <w:sz w:val="32"/>
          <w:szCs w:val="24"/>
        </w:rPr>
      </w:pPr>
      <w:r>
        <w:rPr>
          <w:rFonts w:hint="default" w:ascii="Times New Roman" w:hAnsi="Times New Roman" w:eastAsia="仿宋" w:cs="楷体_GB2312"/>
          <w:b/>
          <w:i w:val="0"/>
          <w:caps w:val="0"/>
          <w:color w:val="000000"/>
          <w:spacing w:val="0"/>
          <w:kern w:val="0"/>
          <w:sz w:val="32"/>
          <w:szCs w:val="24"/>
          <w:lang w:val="en-US" w:eastAsia="zh-CN" w:bidi="ar"/>
        </w:rPr>
        <w:t>第二章  职  责</w:t>
      </w:r>
    </w:p>
    <w:p w14:paraId="2039A1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第七条</w:t>
      </w:r>
      <w:r>
        <w:rPr>
          <w:rFonts w:hint="eastAsia" w:ascii="Times New Roman" w:hAnsi="Times New Roman" w:eastAsia="仿宋" w:cs="宋体"/>
          <w:i w:val="0"/>
          <w:caps w:val="0"/>
          <w:color w:val="000000"/>
          <w:spacing w:val="0"/>
          <w:kern w:val="0"/>
          <w:sz w:val="32"/>
          <w:szCs w:val="24"/>
          <w:lang w:val="en-US" w:eastAsia="zh-CN" w:bidi="ar"/>
        </w:rPr>
        <w:t>  农业部是重点实验室的主管部门，主要职责是：</w:t>
      </w:r>
    </w:p>
    <w:p w14:paraId="6D959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（一）编制和实施重点实验室规划，指导重点实验室的建设、运行和协同创新；</w:t>
      </w:r>
    </w:p>
    <w:p w14:paraId="6E0F8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（二）批准重点实验室的建立、调整和撤销，组织对重点实验室进行考评和检查；</w:t>
      </w:r>
    </w:p>
    <w:p w14:paraId="48D27F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（三）批准重点实验室主任（站长）、学术委员会主任人选；</w:t>
      </w:r>
    </w:p>
    <w:p w14:paraId="0E992B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（四）统筹协调重点实验室条件建设、科研任务和运行保障。</w:t>
      </w:r>
    </w:p>
    <w:p w14:paraId="703CD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第八条</w:t>
      </w:r>
      <w:r>
        <w:rPr>
          <w:rFonts w:hint="eastAsia" w:ascii="Times New Roman" w:hAnsi="Times New Roman" w:eastAsia="仿宋" w:cs="宋体"/>
          <w:i w:val="0"/>
          <w:caps w:val="0"/>
          <w:color w:val="000000"/>
          <w:spacing w:val="0"/>
          <w:kern w:val="0"/>
          <w:sz w:val="32"/>
          <w:szCs w:val="24"/>
          <w:lang w:val="en-US" w:eastAsia="zh-CN" w:bidi="ar"/>
        </w:rPr>
        <w:t>  重点实验室主管单位的主要职责是：</w:t>
      </w:r>
    </w:p>
    <w:p w14:paraId="53E89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（一）支持重点实验室的建设和发展，组织重点实验室的申报，协助农业部进行考评和管理；</w:t>
      </w:r>
    </w:p>
    <w:p w14:paraId="66225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（二）审核上报重点实验室主任（站长）、学术委员会主任人选；</w:t>
      </w:r>
    </w:p>
    <w:p w14:paraId="41F4C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（三）落实重点实验室建设的相关条件，为重点实验室建设和运行提供必要支持。</w:t>
      </w:r>
    </w:p>
    <w:p w14:paraId="0D0666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第九条</w:t>
      </w:r>
      <w:r>
        <w:rPr>
          <w:rFonts w:hint="eastAsia" w:ascii="Times New Roman" w:hAnsi="Times New Roman" w:eastAsia="仿宋" w:cs="宋体"/>
          <w:i w:val="0"/>
          <w:caps w:val="0"/>
          <w:color w:val="000000"/>
          <w:spacing w:val="0"/>
          <w:kern w:val="0"/>
          <w:sz w:val="32"/>
          <w:szCs w:val="24"/>
          <w:lang w:val="en-US" w:eastAsia="zh-CN" w:bidi="ar"/>
        </w:rPr>
        <w:t>  重点实验室依托单位的主要职责是：</w:t>
      </w:r>
    </w:p>
    <w:p w14:paraId="38D978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（一）优先支持重点实验室工作，提供相应的经费和条件保障，解决重点实验室建设和运行中的相关问题；</w:t>
      </w:r>
    </w:p>
    <w:p w14:paraId="7F2C3B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（二）组建重点实验室学术委员会；组织推荐重点实验室主任（站长）、学术委员会主任人选；聘任重点实验室主任（站长）、副主任（副站长），学术委员会主任、副主任和委员；</w:t>
      </w:r>
    </w:p>
    <w:p w14:paraId="6D9BCB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（三）配合主管单位和农业部做好考评和检查。</w:t>
      </w:r>
    </w:p>
    <w:p w14:paraId="3AD547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第十条</w:t>
      </w:r>
      <w:r>
        <w:rPr>
          <w:rFonts w:hint="eastAsia" w:ascii="Times New Roman" w:hAnsi="Times New Roman" w:eastAsia="仿宋" w:cs="宋体"/>
          <w:i w:val="0"/>
          <w:caps w:val="0"/>
          <w:color w:val="000000"/>
          <w:spacing w:val="0"/>
          <w:kern w:val="0"/>
          <w:sz w:val="32"/>
          <w:szCs w:val="24"/>
          <w:lang w:val="en-US" w:eastAsia="zh-CN" w:bidi="ar"/>
        </w:rPr>
        <w:t>  重点实验室的主要职责是：</w:t>
      </w:r>
    </w:p>
    <w:p w14:paraId="0A4A28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（一）综合性重点实验室</w:t>
      </w:r>
    </w:p>
    <w:p w14:paraId="0DFB7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1．针对世界农业科技发展前沿和国家农业发展需求，凝炼重大科技问题，组织开展基础性、前沿性研究以及重大关键、共性技术研究，为农业发展提供新理论、新技术和新方法。发挥智库作用，为解决重大农业产业问题提供决策咨询和综合技术方案；</w:t>
      </w:r>
    </w:p>
    <w:p w14:paraId="4E2C70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2．培育和发展重点学科、新兴学科及交叉学科；</w:t>
      </w:r>
    </w:p>
    <w:p w14:paraId="2F36DD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3．聚集和培养高水平的科技人才；</w:t>
      </w:r>
    </w:p>
    <w:p w14:paraId="09136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4．组织本领域高水平的国际和全国性学术交流；</w:t>
      </w:r>
    </w:p>
    <w:p w14:paraId="04A38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5．负责指导本学科群的重点实验室、科学观测实验站的建设和运行工作，强化学科群内分工协作，组织联合承担重大科技计划，提供科技信息等服务；</w:t>
      </w:r>
    </w:p>
    <w:p w14:paraId="20069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6．组织开展本学科群考评工作。</w:t>
      </w:r>
    </w:p>
    <w:p w14:paraId="67E82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（二）专业性（区域性）重点实验室</w:t>
      </w:r>
    </w:p>
    <w:p w14:paraId="24BEA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1．针对学科建设和区域农业发展需求，根据学科群发展定位和分工要求，组织开展农业应用基础研究和共性关键技术研究，为相关农业领域或区域发展提供理论和技术支撑；</w:t>
      </w:r>
    </w:p>
    <w:p w14:paraId="435B7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2．聚集和培养高水平的科技人才；</w:t>
      </w:r>
    </w:p>
    <w:p w14:paraId="0CE85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3．接受综合性重点实验室的业务指导和考评，指导科学观测实验站建设和运行，组织开展学术交流活动。</w:t>
      </w:r>
    </w:p>
    <w:p w14:paraId="1E9481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（三）科学观测实验站</w:t>
      </w:r>
    </w:p>
    <w:p w14:paraId="1DA9CC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1．接受综合性、专业性（区域性）重点实验室的业务指导，为重点实验室的研究活动提供服务；</w:t>
      </w:r>
    </w:p>
    <w:p w14:paraId="152415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2．开展科学观测，获取农业科学原始资料和基础数据；</w:t>
      </w:r>
    </w:p>
    <w:p w14:paraId="37EAA4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3．开展新品种、新产品和新技术的集成研究与试验示范。</w:t>
      </w:r>
    </w:p>
    <w:p w14:paraId="54DF6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Times New Roman" w:hAnsi="Times New Roman" w:eastAsia="仿宋" w:cs="微软雅黑"/>
          <w:i w:val="0"/>
          <w:caps w:val="0"/>
          <w:color w:val="000000"/>
          <w:spacing w:val="0"/>
          <w:sz w:val="32"/>
          <w:szCs w:val="24"/>
        </w:rPr>
      </w:pPr>
      <w:r>
        <w:rPr>
          <w:rFonts w:hint="default" w:ascii="Times New Roman" w:hAnsi="Times New Roman" w:eastAsia="仿宋" w:cs="楷体_GB2312"/>
          <w:b/>
          <w:i w:val="0"/>
          <w:caps w:val="0"/>
          <w:color w:val="000000"/>
          <w:spacing w:val="0"/>
          <w:kern w:val="0"/>
          <w:sz w:val="32"/>
          <w:szCs w:val="24"/>
          <w:lang w:val="en-US" w:eastAsia="zh-CN" w:bidi="ar"/>
        </w:rPr>
        <w:t>第三章  建  设</w:t>
      </w:r>
    </w:p>
    <w:p w14:paraId="698719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第十一条</w:t>
      </w:r>
      <w:r>
        <w:rPr>
          <w:rFonts w:hint="eastAsia" w:ascii="Times New Roman" w:hAnsi="Times New Roman" w:eastAsia="仿宋" w:cs="宋体"/>
          <w:i w:val="0"/>
          <w:caps w:val="0"/>
          <w:color w:val="000000"/>
          <w:spacing w:val="0"/>
          <w:kern w:val="0"/>
          <w:sz w:val="32"/>
          <w:szCs w:val="24"/>
          <w:lang w:val="en-US" w:eastAsia="zh-CN" w:bidi="ar"/>
        </w:rPr>
        <w:t>  综合性重点实验室原则上从国家级科研机构和高等院校中遴选建设，并具备以下条件：</w:t>
      </w:r>
    </w:p>
    <w:p w14:paraId="271A6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（一）研究方向符合农业发展需求，有明确的研究目标，是业界公认的国内学术权威，具有组织重大科研任务的能力；</w:t>
      </w:r>
    </w:p>
    <w:p w14:paraId="00B45C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（二）有国内外知名的学科领军人才，研究团队结构合理、思想活跃、学风正派，具有培养高级科技人才的能力；</w:t>
      </w:r>
    </w:p>
    <w:p w14:paraId="110770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（三）有完备的试验研究条件和健全的管理制度；</w:t>
      </w:r>
    </w:p>
    <w:p w14:paraId="17D91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（四）依托单位能够保证运行经费，提供必要的技术支撑和后勤保障等。</w:t>
      </w:r>
    </w:p>
    <w:p w14:paraId="6E6E4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第十二条</w:t>
      </w:r>
      <w:r>
        <w:rPr>
          <w:rFonts w:hint="eastAsia" w:ascii="Times New Roman" w:hAnsi="Times New Roman" w:eastAsia="仿宋" w:cs="宋体"/>
          <w:i w:val="0"/>
          <w:caps w:val="0"/>
          <w:color w:val="000000"/>
          <w:spacing w:val="0"/>
          <w:kern w:val="0"/>
          <w:sz w:val="32"/>
          <w:szCs w:val="24"/>
          <w:lang w:val="en-US" w:eastAsia="zh-CN" w:bidi="ar"/>
        </w:rPr>
        <w:t>  专业性（区域性）重点实验室原则上从优势科研教学单位和企业中遴选建设，并具备以下条件：</w:t>
      </w:r>
    </w:p>
    <w:p w14:paraId="116BAC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（一）研究方向符合农业发展需求，有明确的研究目标、较高的学术水平和鲜明的研究特色，具有承担重大科研任务的能力；</w:t>
      </w:r>
    </w:p>
    <w:p w14:paraId="7E658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（二）有较高水平的学术带头人，研究团队结构合理、思想活跃、学风正派，具有培养高级科技人才的能力；</w:t>
      </w:r>
    </w:p>
    <w:p w14:paraId="121C4A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（三）有较完备的试验研究条件和健全的管理制度；</w:t>
      </w:r>
    </w:p>
    <w:p w14:paraId="429576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（四）依托单位能够保证运行经费，提供必要的技术支撑和后勤保障等；</w:t>
      </w:r>
    </w:p>
    <w:p w14:paraId="1B8CFF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（五）依托企业建设的专业性（区域性）重点实验室，应根据产业发展需求，强化科企协同创新，促进提升行业技术水平。</w:t>
      </w:r>
    </w:p>
    <w:p w14:paraId="23D2E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第十三条</w:t>
      </w:r>
      <w:r>
        <w:rPr>
          <w:rFonts w:hint="eastAsia" w:ascii="Times New Roman" w:hAnsi="Times New Roman" w:eastAsia="仿宋" w:cs="宋体"/>
          <w:i w:val="0"/>
          <w:caps w:val="0"/>
          <w:color w:val="000000"/>
          <w:spacing w:val="0"/>
          <w:kern w:val="0"/>
          <w:sz w:val="32"/>
          <w:szCs w:val="24"/>
          <w:lang w:val="en-US" w:eastAsia="zh-CN" w:bidi="ar"/>
        </w:rPr>
        <w:t>  科学观测实验站原则上从地方科研教学单位和企业中遴选建设，并具备以下条件：</w:t>
      </w:r>
    </w:p>
    <w:p w14:paraId="2FDFC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（一）具有学科和区域代表性，拥有必备的仪器设备和设施；</w:t>
      </w:r>
    </w:p>
    <w:p w14:paraId="7DFE72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（二）有一支结构合理、人员稳定的队伍；</w:t>
      </w:r>
    </w:p>
    <w:p w14:paraId="3BAB5F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（三）依托单位能够提供必要的运转经费和后勤保障。</w:t>
      </w:r>
    </w:p>
    <w:p w14:paraId="7E42DC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第十四条</w:t>
      </w:r>
      <w:r>
        <w:rPr>
          <w:rFonts w:hint="eastAsia" w:ascii="Times New Roman" w:hAnsi="Times New Roman" w:eastAsia="仿宋" w:cs="宋体"/>
          <w:i w:val="0"/>
          <w:caps w:val="0"/>
          <w:color w:val="000000"/>
          <w:spacing w:val="0"/>
          <w:kern w:val="0"/>
          <w:sz w:val="32"/>
          <w:szCs w:val="24"/>
          <w:lang w:val="en-US" w:eastAsia="zh-CN" w:bidi="ar"/>
        </w:rPr>
        <w:t>  重点实验室依托单位编制科技创新能力条件建设可行性研究报告等材料，经主管单位审核，报农业部批准后组织实施。</w:t>
      </w:r>
    </w:p>
    <w:p w14:paraId="74D8B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第十五条</w:t>
      </w:r>
      <w:r>
        <w:rPr>
          <w:rFonts w:hint="eastAsia" w:ascii="Times New Roman" w:hAnsi="Times New Roman" w:eastAsia="仿宋" w:cs="宋体"/>
          <w:i w:val="0"/>
          <w:caps w:val="0"/>
          <w:color w:val="000000"/>
          <w:spacing w:val="0"/>
          <w:kern w:val="0"/>
          <w:sz w:val="32"/>
          <w:szCs w:val="24"/>
          <w:lang w:val="en-US" w:eastAsia="zh-CN" w:bidi="ar"/>
        </w:rPr>
        <w:t>  重点实验室科技创新能力条件建设期限一般不超过2年。建设任务完成后，按相关规定进行验收。</w:t>
      </w:r>
    </w:p>
    <w:p w14:paraId="41148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第十六条</w:t>
      </w:r>
      <w:r>
        <w:rPr>
          <w:rFonts w:hint="eastAsia" w:ascii="Times New Roman" w:hAnsi="Times New Roman" w:eastAsia="仿宋" w:cs="宋体"/>
          <w:i w:val="0"/>
          <w:caps w:val="0"/>
          <w:color w:val="000000"/>
          <w:spacing w:val="0"/>
          <w:kern w:val="0"/>
          <w:sz w:val="32"/>
          <w:szCs w:val="24"/>
          <w:lang w:val="en-US" w:eastAsia="zh-CN" w:bidi="ar"/>
        </w:rPr>
        <w:t>  鼓励国内具备较强研发能力的科技型企业参与重点实验室建设，鼓励科研单位、教学机构和企业联合共建。</w:t>
      </w:r>
    </w:p>
    <w:p w14:paraId="2BF6D6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Times New Roman" w:hAnsi="Times New Roman" w:eastAsia="仿宋" w:cs="微软雅黑"/>
          <w:i w:val="0"/>
          <w:caps w:val="0"/>
          <w:color w:val="000000"/>
          <w:spacing w:val="0"/>
          <w:sz w:val="32"/>
          <w:szCs w:val="24"/>
        </w:rPr>
      </w:pPr>
      <w:r>
        <w:rPr>
          <w:rFonts w:hint="default" w:ascii="Times New Roman" w:hAnsi="Times New Roman" w:eastAsia="仿宋" w:cs="楷体_GB2312"/>
          <w:b/>
          <w:i w:val="0"/>
          <w:caps w:val="0"/>
          <w:color w:val="000000"/>
          <w:spacing w:val="0"/>
          <w:kern w:val="0"/>
          <w:sz w:val="32"/>
          <w:szCs w:val="24"/>
          <w:lang w:val="en-US" w:eastAsia="zh-CN" w:bidi="ar"/>
        </w:rPr>
        <w:t>第四章  管  理</w:t>
      </w:r>
    </w:p>
    <w:p w14:paraId="45088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第十七条</w:t>
      </w:r>
      <w:r>
        <w:rPr>
          <w:rFonts w:hint="eastAsia" w:ascii="Times New Roman" w:hAnsi="Times New Roman" w:eastAsia="仿宋" w:cs="宋体"/>
          <w:i w:val="0"/>
          <w:caps w:val="0"/>
          <w:color w:val="000000"/>
          <w:spacing w:val="0"/>
          <w:kern w:val="0"/>
          <w:sz w:val="32"/>
          <w:szCs w:val="24"/>
          <w:lang w:val="en-US" w:eastAsia="zh-CN" w:bidi="ar"/>
        </w:rPr>
        <w:t>  重点实验室实行主任（站长）负责制，由主任（站长）全面负责重点实验室的科学研究、学术交流、财务管理、安全管理以及规章制度建设等工作。</w:t>
      </w:r>
    </w:p>
    <w:p w14:paraId="633A66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第十八条</w:t>
      </w:r>
      <w:r>
        <w:rPr>
          <w:rFonts w:hint="eastAsia" w:ascii="Times New Roman" w:hAnsi="Times New Roman" w:eastAsia="仿宋" w:cs="宋体"/>
          <w:i w:val="0"/>
          <w:caps w:val="0"/>
          <w:color w:val="000000"/>
          <w:spacing w:val="0"/>
          <w:kern w:val="0"/>
          <w:sz w:val="32"/>
          <w:szCs w:val="24"/>
          <w:lang w:val="en-US" w:eastAsia="zh-CN" w:bidi="ar"/>
        </w:rPr>
        <w:t>  综合性重点实验室组织制定为期5年的学科群建设方案，并充分论证。重点实验室依据建设方案，编制建设任务书，明确年度科研任务和目标，报农业部审批后执行。</w:t>
      </w:r>
    </w:p>
    <w:p w14:paraId="4F32C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第十九条</w:t>
      </w:r>
      <w:r>
        <w:rPr>
          <w:rFonts w:hint="eastAsia" w:ascii="Times New Roman" w:hAnsi="Times New Roman" w:eastAsia="仿宋" w:cs="宋体"/>
          <w:i w:val="0"/>
          <w:caps w:val="0"/>
          <w:color w:val="000000"/>
          <w:spacing w:val="0"/>
          <w:kern w:val="0"/>
          <w:sz w:val="32"/>
          <w:szCs w:val="24"/>
          <w:lang w:val="en-US" w:eastAsia="zh-CN" w:bidi="ar"/>
        </w:rPr>
        <w:t>  新增重点实验室开展为期两年的试运行，考评合格后正式命名。</w:t>
      </w:r>
    </w:p>
    <w:p w14:paraId="314574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第二十条</w:t>
      </w:r>
      <w:r>
        <w:rPr>
          <w:rFonts w:hint="eastAsia" w:ascii="Times New Roman" w:hAnsi="Times New Roman" w:eastAsia="仿宋" w:cs="宋体"/>
          <w:i w:val="0"/>
          <w:caps w:val="0"/>
          <w:color w:val="000000"/>
          <w:spacing w:val="0"/>
          <w:kern w:val="0"/>
          <w:sz w:val="32"/>
          <w:szCs w:val="24"/>
          <w:lang w:val="en-US" w:eastAsia="zh-CN" w:bidi="ar"/>
        </w:rPr>
        <w:t>  重点实验室主任（站长）每届任期5年，由依托单位在职人员担任，一般应具有正高级专业技术职务，具备较强的组织和协调能力，任职年龄原则上不超过60岁。</w:t>
      </w:r>
    </w:p>
    <w:p w14:paraId="18CAD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第二十一条</w:t>
      </w:r>
      <w:r>
        <w:rPr>
          <w:rFonts w:hint="eastAsia" w:ascii="Times New Roman" w:hAnsi="Times New Roman" w:eastAsia="仿宋" w:cs="宋体"/>
          <w:i w:val="0"/>
          <w:caps w:val="0"/>
          <w:color w:val="000000"/>
          <w:spacing w:val="0"/>
          <w:kern w:val="0"/>
          <w:sz w:val="32"/>
          <w:szCs w:val="24"/>
          <w:lang w:val="en-US" w:eastAsia="zh-CN" w:bidi="ar"/>
        </w:rPr>
        <w:t>  综合性重点实验室主任、学术委员会主任变更，由依托单位推荐，经主管单位审核，报农业部批复；专业性（区域性）重点实验室主任、学术委员会主任和科学观测实验站站长变更，在与综合性重点实验室充分协商的基础上，由依托单位推荐，经主管单位审核，报农业部批复。</w:t>
      </w:r>
    </w:p>
    <w:p w14:paraId="1FFE28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第二十二条</w:t>
      </w:r>
      <w:r>
        <w:rPr>
          <w:rFonts w:hint="eastAsia" w:ascii="Times New Roman" w:hAnsi="Times New Roman" w:eastAsia="仿宋" w:cs="宋体"/>
          <w:i w:val="0"/>
          <w:caps w:val="0"/>
          <w:color w:val="000000"/>
          <w:spacing w:val="0"/>
          <w:kern w:val="0"/>
          <w:sz w:val="32"/>
          <w:szCs w:val="24"/>
          <w:lang w:val="en-US" w:eastAsia="zh-CN" w:bidi="ar"/>
        </w:rPr>
        <w:t>  综合性和专业性（区域性）重点实验室应成立学术委员会，成员原则上不少于11人，其中依托单位的人员不超过三分之一。学术委员会主任原则上由非依托单位的专家担任。学术委员会委员每届任期5年。</w:t>
      </w:r>
    </w:p>
    <w:p w14:paraId="3EAA80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第二十三条</w:t>
      </w:r>
      <w:r>
        <w:rPr>
          <w:rFonts w:hint="eastAsia" w:ascii="Times New Roman" w:hAnsi="Times New Roman" w:eastAsia="仿宋" w:cs="宋体"/>
          <w:i w:val="0"/>
          <w:caps w:val="0"/>
          <w:color w:val="000000"/>
          <w:spacing w:val="0"/>
          <w:kern w:val="0"/>
          <w:sz w:val="32"/>
          <w:szCs w:val="24"/>
          <w:lang w:val="en-US" w:eastAsia="zh-CN" w:bidi="ar"/>
        </w:rPr>
        <w:t>  学术委员会应定期开展活动，指导重点实验室主任按照重点实验室研究方向和发展规划开展工作，评价学术水平和科研成果等。</w:t>
      </w:r>
    </w:p>
    <w:p w14:paraId="72187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第二十四条</w:t>
      </w:r>
      <w:r>
        <w:rPr>
          <w:rFonts w:hint="eastAsia" w:ascii="Times New Roman" w:hAnsi="Times New Roman" w:eastAsia="仿宋" w:cs="宋体"/>
          <w:i w:val="0"/>
          <w:caps w:val="0"/>
          <w:color w:val="000000"/>
          <w:spacing w:val="0"/>
          <w:kern w:val="0"/>
          <w:sz w:val="32"/>
          <w:szCs w:val="24"/>
          <w:lang w:val="en-US" w:eastAsia="zh-CN" w:bidi="ar"/>
        </w:rPr>
        <w:t>  重点实验室按研究方向和研究内容设置研究单元，实行固定编制与流动编制相结合的人员管理制度，保持人员的适度规模和合理流动。固定编制人员包括研究人员、技术人员和管理人员等，固定编制人员只能参与一个重点实验室的建设；流动编制人员包括访问学者、博士后等。设置重点实验室秘书岗位，鼓励由专职人员担任。</w:t>
      </w:r>
    </w:p>
    <w:p w14:paraId="69638F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第二十五条</w:t>
      </w:r>
      <w:r>
        <w:rPr>
          <w:rFonts w:hint="eastAsia" w:ascii="Times New Roman" w:hAnsi="Times New Roman" w:eastAsia="仿宋" w:cs="宋体"/>
          <w:i w:val="0"/>
          <w:caps w:val="0"/>
          <w:color w:val="000000"/>
          <w:spacing w:val="0"/>
          <w:kern w:val="0"/>
          <w:sz w:val="32"/>
          <w:szCs w:val="24"/>
          <w:lang w:val="en-US" w:eastAsia="zh-CN" w:bidi="ar"/>
        </w:rPr>
        <w:t>  重点实验室及其依托单位应加大开放力度，推动科研人员互访、培训和进修工作制度化，将重点实验室建设成为本领域的公共研究平台。综合性重点实验室和依托企业建设的专业性（区域性）重点实验室应围绕学科群主要任务和研究方向，设立开放课题；鼓励其他的重点实验室设立开放课题，积极开展合作交流。</w:t>
      </w:r>
    </w:p>
    <w:p w14:paraId="4C25FD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第二十六条</w:t>
      </w:r>
      <w:r>
        <w:rPr>
          <w:rFonts w:hint="eastAsia" w:ascii="Times New Roman" w:hAnsi="Times New Roman" w:eastAsia="仿宋" w:cs="宋体"/>
          <w:i w:val="0"/>
          <w:caps w:val="0"/>
          <w:color w:val="000000"/>
          <w:spacing w:val="0"/>
          <w:kern w:val="0"/>
          <w:sz w:val="32"/>
          <w:szCs w:val="24"/>
          <w:lang w:val="en-US" w:eastAsia="zh-CN" w:bidi="ar"/>
        </w:rPr>
        <w:t>  重点实验室应加快推动科研设施、仪器设备、科学数据等开放共享，提高科技资源利用效率。有计划地实施科研仪器设备的更新改造和自主研制。</w:t>
      </w:r>
    </w:p>
    <w:p w14:paraId="021A7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第二十七条</w:t>
      </w:r>
      <w:r>
        <w:rPr>
          <w:rFonts w:hint="eastAsia" w:ascii="Times New Roman" w:hAnsi="Times New Roman" w:eastAsia="仿宋" w:cs="宋体"/>
          <w:i w:val="0"/>
          <w:caps w:val="0"/>
          <w:color w:val="000000"/>
          <w:spacing w:val="0"/>
          <w:kern w:val="0"/>
          <w:sz w:val="32"/>
          <w:szCs w:val="24"/>
          <w:lang w:val="en-US" w:eastAsia="zh-CN" w:bidi="ar"/>
        </w:rPr>
        <w:t>  依托农业部重点实验室管理信息系统等信息化平台，动态反映科研工作，加强日常管理。相关信息作为考评的重要依据。</w:t>
      </w:r>
    </w:p>
    <w:p w14:paraId="77BD52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第二十八条</w:t>
      </w:r>
      <w:r>
        <w:rPr>
          <w:rFonts w:hint="eastAsia" w:ascii="Times New Roman" w:hAnsi="Times New Roman" w:eastAsia="仿宋" w:cs="宋体"/>
          <w:i w:val="0"/>
          <w:caps w:val="0"/>
          <w:color w:val="000000"/>
          <w:spacing w:val="0"/>
          <w:kern w:val="0"/>
          <w:sz w:val="32"/>
          <w:szCs w:val="24"/>
          <w:lang w:val="en-US" w:eastAsia="zh-CN" w:bidi="ar"/>
        </w:rPr>
        <w:t>  重点实验室应当加强知识产权保护，依托重点实验室完成的研究成果均应标注重点实验室名称，有关知识产权的权属与收益分配按照国家相关规定办理。</w:t>
      </w:r>
    </w:p>
    <w:p w14:paraId="7A967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第二十九条</w:t>
      </w:r>
      <w:r>
        <w:rPr>
          <w:rFonts w:hint="eastAsia" w:ascii="Times New Roman" w:hAnsi="Times New Roman" w:eastAsia="仿宋" w:cs="宋体"/>
          <w:i w:val="0"/>
          <w:caps w:val="0"/>
          <w:color w:val="000000"/>
          <w:spacing w:val="0"/>
          <w:kern w:val="0"/>
          <w:sz w:val="32"/>
          <w:szCs w:val="24"/>
          <w:lang w:val="en-US" w:eastAsia="zh-CN" w:bidi="ar"/>
        </w:rPr>
        <w:t>  重点实验室应加强与推广机构和企业的交流合作，促进科技成果转化。应重视开展科学技术普及工作，积极向社会公众开放。</w:t>
      </w:r>
    </w:p>
    <w:p w14:paraId="1D6B2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第三十条</w:t>
      </w:r>
      <w:r>
        <w:rPr>
          <w:rFonts w:hint="eastAsia" w:ascii="Times New Roman" w:hAnsi="Times New Roman" w:eastAsia="仿宋" w:cs="宋体"/>
          <w:i w:val="0"/>
          <w:caps w:val="0"/>
          <w:color w:val="000000"/>
          <w:spacing w:val="0"/>
          <w:kern w:val="0"/>
          <w:sz w:val="32"/>
          <w:szCs w:val="24"/>
          <w:lang w:val="en-US" w:eastAsia="zh-CN" w:bidi="ar"/>
        </w:rPr>
        <w:t>  重点实验室应当重视科学道德和学风建设，营造宽松民主、潜心研究的科研环境。</w:t>
      </w:r>
    </w:p>
    <w:p w14:paraId="233F94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Times New Roman" w:hAnsi="Times New Roman" w:eastAsia="仿宋" w:cs="微软雅黑"/>
          <w:i w:val="0"/>
          <w:caps w:val="0"/>
          <w:color w:val="000000"/>
          <w:spacing w:val="0"/>
          <w:sz w:val="32"/>
          <w:szCs w:val="24"/>
        </w:rPr>
      </w:pPr>
      <w:r>
        <w:rPr>
          <w:rFonts w:hint="default" w:ascii="Times New Roman" w:hAnsi="Times New Roman" w:eastAsia="仿宋" w:cs="楷体_GB2312"/>
          <w:b/>
          <w:i w:val="0"/>
          <w:caps w:val="0"/>
          <w:color w:val="000000"/>
          <w:spacing w:val="0"/>
          <w:kern w:val="0"/>
          <w:sz w:val="32"/>
          <w:szCs w:val="24"/>
          <w:lang w:val="en-US" w:eastAsia="zh-CN" w:bidi="ar"/>
        </w:rPr>
        <w:t>第五章  考  评</w:t>
      </w:r>
    </w:p>
    <w:p w14:paraId="221A8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第三十一条</w:t>
      </w:r>
      <w:r>
        <w:rPr>
          <w:rFonts w:hint="eastAsia" w:ascii="Times New Roman" w:hAnsi="Times New Roman" w:eastAsia="仿宋" w:cs="宋体"/>
          <w:i w:val="0"/>
          <w:caps w:val="0"/>
          <w:color w:val="000000"/>
          <w:spacing w:val="0"/>
          <w:kern w:val="0"/>
          <w:sz w:val="32"/>
          <w:szCs w:val="24"/>
          <w:lang w:val="en-US" w:eastAsia="zh-CN" w:bidi="ar"/>
        </w:rPr>
        <w:t>  重点实验室考评分为年度测评和五年综合评估，由农业部科技教育司会同农业部科技发展中心组织实施。年度测评结果是五年综合评估的重要基础。</w:t>
      </w:r>
    </w:p>
    <w:p w14:paraId="1741B9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第三十二条</w:t>
      </w:r>
      <w:r>
        <w:rPr>
          <w:rFonts w:hint="eastAsia" w:ascii="Times New Roman" w:hAnsi="Times New Roman" w:eastAsia="仿宋" w:cs="宋体"/>
          <w:i w:val="0"/>
          <w:caps w:val="0"/>
          <w:color w:val="000000"/>
          <w:spacing w:val="0"/>
          <w:kern w:val="0"/>
          <w:sz w:val="32"/>
          <w:szCs w:val="24"/>
          <w:lang w:val="en-US" w:eastAsia="zh-CN" w:bidi="ar"/>
        </w:rPr>
        <w:t>  考评指标包括学术指标和日常管理指标，突出针对性和导向性，形成分级分类的指标体系。</w:t>
      </w:r>
    </w:p>
    <w:p w14:paraId="778CB7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第三十三条</w:t>
      </w:r>
      <w:r>
        <w:rPr>
          <w:rFonts w:hint="eastAsia" w:ascii="Times New Roman" w:hAnsi="Times New Roman" w:eastAsia="仿宋" w:cs="宋体"/>
          <w:i w:val="0"/>
          <w:caps w:val="0"/>
          <w:color w:val="000000"/>
          <w:spacing w:val="0"/>
          <w:kern w:val="0"/>
          <w:sz w:val="32"/>
          <w:szCs w:val="24"/>
          <w:lang w:val="en-US" w:eastAsia="zh-CN" w:bidi="ar"/>
        </w:rPr>
        <w:t>  农业部负责对各学科群整体情况进行考评，综合性重点实验室负责组织本学科群考评。</w:t>
      </w:r>
    </w:p>
    <w:p w14:paraId="0C223B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第三十四条</w:t>
      </w:r>
      <w:r>
        <w:rPr>
          <w:rFonts w:hint="eastAsia" w:ascii="Times New Roman" w:hAnsi="Times New Roman" w:eastAsia="仿宋" w:cs="宋体"/>
          <w:i w:val="0"/>
          <w:caps w:val="0"/>
          <w:color w:val="000000"/>
          <w:spacing w:val="0"/>
          <w:kern w:val="0"/>
          <w:sz w:val="32"/>
          <w:szCs w:val="24"/>
          <w:lang w:val="en-US" w:eastAsia="zh-CN" w:bidi="ar"/>
        </w:rPr>
        <w:t>  年度报告是考评的重要依据。专业性（区域性）重点实验室、科学观测实验站向综合性重点实验室提交年度报告。综合性重点实验室向农业部提交年度报告及本学科群工作总结。</w:t>
      </w:r>
    </w:p>
    <w:p w14:paraId="552760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第三十五条</w:t>
      </w:r>
      <w:r>
        <w:rPr>
          <w:rFonts w:hint="eastAsia" w:ascii="Times New Roman" w:hAnsi="Times New Roman" w:eastAsia="仿宋" w:cs="宋体"/>
          <w:i w:val="0"/>
          <w:caps w:val="0"/>
          <w:color w:val="000000"/>
          <w:spacing w:val="0"/>
          <w:kern w:val="0"/>
          <w:sz w:val="32"/>
          <w:szCs w:val="24"/>
          <w:lang w:val="en-US" w:eastAsia="zh-CN" w:bidi="ar"/>
        </w:rPr>
        <w:t>  考评结果按照一定比例，分为优秀、良好和不合格三个等次，实行淘汰机制。对考评优秀的重点实验室，在项目、人才和条件建设上给予倾斜和支持。对年度测评不合格的重点实验室限期整改，对连续两年测评不合格或五年综合评估不合格的重点实验室取消资质。对考评不合格的学科群，调整综合性重点实验室主任或依托单位。</w:t>
      </w:r>
    </w:p>
    <w:p w14:paraId="0A30A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第三十六条</w:t>
      </w:r>
      <w:r>
        <w:rPr>
          <w:rFonts w:hint="eastAsia" w:ascii="Times New Roman" w:hAnsi="Times New Roman" w:eastAsia="仿宋" w:cs="宋体"/>
          <w:i w:val="0"/>
          <w:caps w:val="0"/>
          <w:color w:val="000000"/>
          <w:spacing w:val="0"/>
          <w:kern w:val="0"/>
          <w:sz w:val="32"/>
          <w:szCs w:val="24"/>
          <w:lang w:val="en-US" w:eastAsia="zh-CN" w:bidi="ar"/>
        </w:rPr>
        <w:t>  农业部重点实验室考评细则另行制定。</w:t>
      </w:r>
    </w:p>
    <w:p w14:paraId="5F99E5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Times New Roman" w:hAnsi="Times New Roman" w:eastAsia="仿宋" w:cs="微软雅黑"/>
          <w:i w:val="0"/>
          <w:caps w:val="0"/>
          <w:color w:val="000000"/>
          <w:spacing w:val="0"/>
          <w:sz w:val="32"/>
          <w:szCs w:val="24"/>
        </w:rPr>
      </w:pPr>
      <w:r>
        <w:rPr>
          <w:rFonts w:hint="default" w:ascii="Times New Roman" w:hAnsi="Times New Roman" w:eastAsia="仿宋" w:cs="楷体_GB2312"/>
          <w:b/>
          <w:i w:val="0"/>
          <w:caps w:val="0"/>
          <w:color w:val="000000"/>
          <w:spacing w:val="0"/>
          <w:kern w:val="0"/>
          <w:sz w:val="32"/>
          <w:szCs w:val="24"/>
          <w:lang w:val="en-US" w:eastAsia="zh-CN" w:bidi="ar"/>
        </w:rPr>
        <w:t>第六章  附  则</w:t>
      </w:r>
    </w:p>
    <w:p w14:paraId="6DC61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第三十七条</w:t>
      </w:r>
      <w:r>
        <w:rPr>
          <w:rFonts w:hint="eastAsia" w:ascii="Times New Roman" w:hAnsi="Times New Roman" w:eastAsia="仿宋" w:cs="宋体"/>
          <w:i w:val="0"/>
          <w:caps w:val="0"/>
          <w:color w:val="000000"/>
          <w:spacing w:val="0"/>
          <w:kern w:val="0"/>
          <w:sz w:val="32"/>
          <w:szCs w:val="24"/>
          <w:lang w:val="en-US" w:eastAsia="zh-CN" w:bidi="ar"/>
        </w:rPr>
        <w:t>  重点实验室名称由农业部统一命名。“农业部xx重点实验室”，英文译名为“Key Laboratory of xx，Ministry of Agriculture”；科学观测实验站统一命名为“农业部xx科学观测实验站”，英文译名为“Scientific Observation and Experiment Station of xx，Ministry of Agriculture”。</w:t>
      </w:r>
    </w:p>
    <w:p w14:paraId="44FBB9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2"/>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b/>
          <w:i w:val="0"/>
          <w:caps w:val="0"/>
          <w:color w:val="000000"/>
          <w:spacing w:val="0"/>
          <w:kern w:val="0"/>
          <w:sz w:val="32"/>
          <w:szCs w:val="24"/>
          <w:lang w:val="en-US" w:eastAsia="zh-CN" w:bidi="ar"/>
        </w:rPr>
        <w:t>第三十八条</w:t>
      </w:r>
      <w:r>
        <w:rPr>
          <w:rFonts w:hint="eastAsia" w:ascii="Times New Roman" w:hAnsi="Times New Roman" w:eastAsia="仿宋" w:cs="宋体"/>
          <w:i w:val="0"/>
          <w:caps w:val="0"/>
          <w:color w:val="000000"/>
          <w:spacing w:val="0"/>
          <w:kern w:val="0"/>
          <w:sz w:val="32"/>
          <w:szCs w:val="24"/>
          <w:lang w:val="en-US" w:eastAsia="zh-CN" w:bidi="ar"/>
        </w:rPr>
        <w:t>  重点实验室的主管单位可依据本办法制定重点实验室管理细则。</w:t>
      </w:r>
    </w:p>
    <w:p w14:paraId="604748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560"/>
        <w:jc w:val="left"/>
        <w:textAlignment w:val="auto"/>
        <w:rPr>
          <w:rFonts w:hint="eastAsia" w:ascii="Times New Roman" w:hAnsi="Times New Roman" w:eastAsia="仿宋" w:cs="微软雅黑"/>
          <w:i w:val="0"/>
          <w:caps w:val="0"/>
          <w:color w:val="000000"/>
          <w:spacing w:val="0"/>
          <w:sz w:val="32"/>
          <w:szCs w:val="24"/>
        </w:rPr>
      </w:pPr>
      <w:r>
        <w:rPr>
          <w:rFonts w:hint="eastAsia" w:ascii="Times New Roman" w:hAnsi="Times New Roman" w:eastAsia="仿宋" w:cs="宋体"/>
          <w:i w:val="0"/>
          <w:caps w:val="0"/>
          <w:color w:val="000000"/>
          <w:spacing w:val="0"/>
          <w:kern w:val="0"/>
          <w:sz w:val="32"/>
          <w:szCs w:val="24"/>
          <w:lang w:val="en-US" w:eastAsia="zh-CN" w:bidi="ar"/>
        </w:rPr>
        <w:t>本办法由农业部科技教育司负责解释，自印发之日起施行。原《农业部重点实验室管理办法》同时废止。</w:t>
      </w:r>
    </w:p>
    <w:p w14:paraId="3D52DDDB">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仿宋"/>
          <w:sz w:val="32"/>
        </w:rPr>
      </w:pPr>
    </w:p>
    <w:p w14:paraId="425100AC">
      <w:pPr>
        <w:pStyle w:val="5"/>
        <w:ind w:left="0" w:leftChars="0" w:firstLine="0" w:firstLineChars="0"/>
        <w:rPr>
          <w:rFonts w:hint="eastAsia"/>
          <w:lang w:val="en-US" w:eastAsia="zh-CN"/>
        </w:rPr>
      </w:pPr>
    </w:p>
    <w:p w14:paraId="40A855B5">
      <w:pPr>
        <w:pStyle w:val="5"/>
        <w:ind w:left="0" w:leftChars="0" w:firstLine="0" w:firstLineChars="0"/>
        <w:rPr>
          <w:rFonts w:hint="eastAsia"/>
          <w:lang w:val="en-US" w:eastAsia="zh-CN"/>
        </w:rPr>
      </w:pPr>
    </w:p>
    <w:p w14:paraId="29DA9502">
      <w:pPr>
        <w:pStyle w:val="5"/>
        <w:ind w:left="0" w:leftChars="0" w:firstLine="0" w:firstLineChars="0"/>
        <w:rPr>
          <w:rFonts w:hint="eastAsia"/>
          <w:lang w:val="en-US" w:eastAsia="zh-CN"/>
        </w:rPr>
      </w:pPr>
    </w:p>
    <w:p w14:paraId="54877B95">
      <w:pPr>
        <w:pStyle w:val="5"/>
        <w:ind w:left="0" w:leftChars="0" w:firstLine="0" w:firstLineChars="0"/>
        <w:rPr>
          <w:rFonts w:hint="eastAsia"/>
          <w:lang w:val="en-US" w:eastAsia="zh-CN"/>
        </w:rPr>
      </w:pPr>
    </w:p>
    <w:p w14:paraId="41483BB2">
      <w:pPr>
        <w:pStyle w:val="5"/>
        <w:ind w:left="0" w:leftChars="0" w:firstLine="0" w:firstLineChars="0"/>
        <w:rPr>
          <w:rFonts w:hint="eastAsia"/>
          <w:lang w:val="en-US" w:eastAsia="zh-CN"/>
        </w:rPr>
      </w:pPr>
    </w:p>
    <w:p w14:paraId="206660B7">
      <w:pPr>
        <w:pStyle w:val="5"/>
        <w:ind w:left="0" w:leftChars="0" w:firstLine="0" w:firstLineChars="0"/>
        <w:rPr>
          <w:rFonts w:hint="eastAsia"/>
          <w:lang w:val="en-US" w:eastAsia="zh-CN"/>
        </w:rPr>
      </w:pPr>
    </w:p>
    <w:p w14:paraId="2A293F41">
      <w:pPr>
        <w:pStyle w:val="5"/>
        <w:ind w:left="0" w:leftChars="0" w:firstLine="0" w:firstLineChars="0"/>
        <w:rPr>
          <w:rFonts w:hint="eastAsia"/>
          <w:lang w:val="en-US" w:eastAsia="zh-CN"/>
        </w:rPr>
      </w:pPr>
    </w:p>
    <w:p w14:paraId="22DED53A">
      <w:pPr>
        <w:pStyle w:val="5"/>
        <w:ind w:left="0" w:leftChars="0" w:firstLine="0" w:firstLineChars="0"/>
        <w:rPr>
          <w:rFonts w:hint="eastAsia"/>
          <w:lang w:val="en-US" w:eastAsia="zh-CN"/>
        </w:rPr>
      </w:pPr>
    </w:p>
    <w:p w14:paraId="475A053F">
      <w:pPr>
        <w:pStyle w:val="5"/>
        <w:ind w:left="0" w:leftChars="0" w:firstLine="0" w:firstLineChars="0"/>
        <w:rPr>
          <w:rFonts w:hint="eastAsia"/>
          <w:lang w:val="en-US" w:eastAsia="zh-CN"/>
        </w:rPr>
      </w:pPr>
    </w:p>
    <w:p w14:paraId="629CBB22">
      <w:pPr>
        <w:pStyle w:val="5"/>
        <w:ind w:left="0" w:leftChars="0" w:firstLine="0" w:firstLineChars="0"/>
        <w:rPr>
          <w:rFonts w:hint="eastAsia"/>
          <w:lang w:val="en-US" w:eastAsia="zh-CN"/>
        </w:rPr>
      </w:pPr>
    </w:p>
    <w:p w14:paraId="24D9757C">
      <w:pPr>
        <w:pStyle w:val="5"/>
        <w:ind w:left="0" w:leftChars="0" w:firstLine="0" w:firstLineChars="0"/>
        <w:rPr>
          <w:rFonts w:hint="eastAsia"/>
          <w:lang w:val="en-US" w:eastAsia="zh-CN"/>
        </w:rPr>
      </w:pPr>
    </w:p>
    <w:p w14:paraId="5474F9B1">
      <w:pPr>
        <w:pStyle w:val="5"/>
        <w:ind w:left="0" w:leftChars="0" w:firstLine="0" w:firstLineChars="0"/>
        <w:rPr>
          <w:rFonts w:hint="eastAsia"/>
          <w:lang w:val="en-US" w:eastAsia="zh-CN"/>
        </w:rPr>
      </w:pPr>
    </w:p>
    <w:p w14:paraId="77AEFA35">
      <w:pPr>
        <w:pStyle w:val="5"/>
        <w:ind w:left="0" w:leftChars="0" w:firstLine="0" w:firstLineChars="0"/>
        <w:rPr>
          <w:rFonts w:hint="eastAsia"/>
          <w:lang w:val="en-US" w:eastAsia="zh-CN"/>
        </w:rPr>
      </w:pPr>
    </w:p>
    <w:p w14:paraId="0E24B0A2">
      <w:pPr>
        <w:pStyle w:val="5"/>
        <w:ind w:left="0" w:leftChars="0" w:firstLine="0" w:firstLineChars="0"/>
        <w:rPr>
          <w:rFonts w:hint="eastAsia"/>
          <w:lang w:val="en-US" w:eastAsia="zh-CN"/>
        </w:rPr>
      </w:pPr>
    </w:p>
    <w:p w14:paraId="6F8355D3">
      <w:pPr>
        <w:pStyle w:val="5"/>
        <w:ind w:left="0" w:leftChars="0" w:firstLine="0" w:firstLineChars="0"/>
        <w:rPr>
          <w:rFonts w:hint="eastAsia"/>
          <w:lang w:val="en-US" w:eastAsia="zh-CN"/>
        </w:rPr>
      </w:pPr>
    </w:p>
    <w:p w14:paraId="29E5510F">
      <w:pPr>
        <w:pStyle w:val="5"/>
        <w:ind w:left="0" w:leftChars="0" w:firstLine="0" w:firstLineChars="0"/>
        <w:rPr>
          <w:rFonts w:hint="eastAsia"/>
          <w:lang w:val="en-US" w:eastAsia="zh-CN"/>
        </w:rPr>
      </w:pPr>
    </w:p>
    <w:p w14:paraId="5893A7F0">
      <w:pPr>
        <w:jc w:val="both"/>
        <w:rPr>
          <w:rFonts w:hint="eastAsia" w:ascii="方正公文小标宋" w:hAnsi="方正公文小标宋" w:eastAsia="方正公文小标宋" w:cs="方正公文小标宋"/>
          <w:sz w:val="32"/>
          <w:szCs w:val="40"/>
          <w:lang w:val="en-US" w:eastAsia="zh-CN"/>
        </w:rPr>
      </w:pPr>
      <w:r>
        <w:rPr>
          <w:rFonts w:hint="eastAsia" w:ascii="方正公文小标宋" w:hAnsi="方正公文小标宋" w:eastAsia="方正公文小标宋" w:cs="方正公文小标宋"/>
          <w:sz w:val="32"/>
          <w:szCs w:val="40"/>
          <w:lang w:val="en-US" w:eastAsia="zh-CN"/>
        </w:rPr>
        <w:t>附件3</w:t>
      </w:r>
    </w:p>
    <w:p w14:paraId="55D67690">
      <w:pPr>
        <w:jc w:val="center"/>
        <w:rPr>
          <w:rFonts w:hint="eastAsia" w:ascii="方正公文小标宋" w:hAnsi="方正公文小标宋" w:eastAsia="方正公文小标宋" w:cs="方正公文小标宋"/>
          <w:sz w:val="44"/>
          <w:szCs w:val="52"/>
          <w:lang w:val="en-US" w:eastAsia="zh-CN"/>
        </w:rPr>
      </w:pPr>
      <w:r>
        <w:rPr>
          <w:rFonts w:hint="eastAsia" w:ascii="方正公文小标宋" w:hAnsi="方正公文小标宋" w:eastAsia="方正公文小标宋" w:cs="方正公文小标宋"/>
          <w:sz w:val="44"/>
          <w:szCs w:val="52"/>
          <w:lang w:val="en-US" w:eastAsia="zh-CN"/>
        </w:rPr>
        <w:t>农业农村部重点实验室清单</w:t>
      </w:r>
    </w:p>
    <w:p w14:paraId="3A0554D3">
      <w:pPr>
        <w:jc w:val="center"/>
        <w:rPr>
          <w:rFonts w:hint="eastAsia" w:ascii="方正小标宋简体" w:hAnsi="方正小标宋简体" w:eastAsia="方正小标宋简体" w:cs="方正小标宋简体"/>
          <w:sz w:val="44"/>
          <w:szCs w:val="52"/>
          <w:lang w:val="en-US" w:eastAsia="zh-CN"/>
        </w:rPr>
      </w:pPr>
    </w:p>
    <w:tbl>
      <w:tblPr>
        <w:tblW w:w="10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58"/>
        <w:gridCol w:w="6495"/>
        <w:gridCol w:w="1939"/>
        <w:gridCol w:w="1065"/>
      </w:tblGrid>
      <w:tr w14:paraId="4FEF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4947C04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序号</w:t>
            </w:r>
          </w:p>
        </w:tc>
        <w:tc>
          <w:tcPr>
            <w:tcW w:w="6495" w:type="dxa"/>
            <w:tcBorders>
              <w:top w:val="single" w:color="000000" w:sz="4" w:space="0"/>
              <w:left w:val="single" w:color="000000" w:sz="4" w:space="0"/>
              <w:bottom w:val="single" w:color="000000" w:sz="4" w:space="0"/>
              <w:right w:val="single" w:color="000000" w:sz="4" w:space="0"/>
            </w:tcBorders>
            <w:shd w:val="clear"/>
            <w:noWrap/>
            <w:vAlign w:val="center"/>
          </w:tcPr>
          <w:p w14:paraId="7E9897D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平台名称</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29A8F64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所在学院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7DB25AC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bdr w:val="none" w:color="auto" w:sz="0" w:space="0"/>
                <w:lang w:val="en-US" w:eastAsia="zh-CN" w:bidi="ar"/>
              </w:rPr>
              <w:t>负责人</w:t>
            </w:r>
          </w:p>
        </w:tc>
      </w:tr>
      <w:tr w14:paraId="12DE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3508F0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00593C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农业农村部兽用疫苗创制重点实验室</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073A82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兽医学院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6C77D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任  涛</w:t>
            </w:r>
          </w:p>
        </w:tc>
      </w:tr>
      <w:tr w14:paraId="0B63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5B8CF5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474ADE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农业农村部水田农业装备技术重点实验室</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4EEA57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工程学院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0EC143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胡  炼</w:t>
            </w:r>
          </w:p>
        </w:tc>
      </w:tr>
      <w:tr w14:paraId="62DC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6CF74E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407171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农业农村部华南作物有害生物综合治理重点实验室</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40A71A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植物保护学院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1CB5D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钟国华</w:t>
            </w:r>
          </w:p>
        </w:tc>
      </w:tr>
      <w:tr w14:paraId="130C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00106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0661FD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农业农村部鸡遗传育种与繁殖重点实验室</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758921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动物科学学院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55A67C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聂庆华</w:t>
            </w:r>
          </w:p>
        </w:tc>
      </w:tr>
      <w:tr w14:paraId="6A1D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7CB6CD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6D398E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农业农村部华南热带农业环境重点实验室</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6B8B02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资源环境学院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431AF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蔡昆争</w:t>
            </w:r>
          </w:p>
        </w:tc>
      </w:tr>
      <w:tr w14:paraId="72962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2C8040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1E7826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农业农村部华南耕地保育重点实验室</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3047F8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资源环境学院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034900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李永涛</w:t>
            </w:r>
          </w:p>
        </w:tc>
      </w:tr>
      <w:tr w14:paraId="7FB0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43B74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6C96F0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农业农村部能源植物资源与利用重点实验室</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03FE72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生物质工程研究院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1DF2CF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谢  君</w:t>
            </w:r>
          </w:p>
        </w:tc>
      </w:tr>
      <w:tr w14:paraId="1778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45A8A6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189307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农业农村部华南地区园艺作物生物学与种质创制重点实验室</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1D2E4C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园艺学院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222687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胡桂兵</w:t>
            </w:r>
          </w:p>
        </w:tc>
      </w:tr>
      <w:tr w14:paraId="62BF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5FB9B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13DC9F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农业农村部人畜共患病重点实验室</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1C5A38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兽医学院</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338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亓文宝</w:t>
            </w:r>
          </w:p>
        </w:tc>
      </w:tr>
      <w:tr w14:paraId="3F82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63DAA1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373351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农业农村部农业设施新材料重点实验室（试运行）</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08B524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材料与能源学院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2A0A26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胡传双</w:t>
            </w:r>
          </w:p>
        </w:tc>
      </w:tr>
      <w:tr w14:paraId="6789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721495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6CC15D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农业农村部华南热带智慧农业技术重点实验室（试运行）</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5F85ED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数学与信息学院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3270FB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肖德琴</w:t>
            </w:r>
          </w:p>
        </w:tc>
      </w:tr>
      <w:tr w14:paraId="63FA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758" w:type="dxa"/>
            <w:tcBorders>
              <w:top w:val="single" w:color="000000" w:sz="4" w:space="0"/>
              <w:left w:val="single" w:color="000000" w:sz="4" w:space="0"/>
              <w:bottom w:val="single" w:color="000000" w:sz="4" w:space="0"/>
              <w:right w:val="single" w:color="000000" w:sz="4" w:space="0"/>
            </w:tcBorders>
            <w:shd w:val="clear"/>
            <w:noWrap/>
            <w:vAlign w:val="center"/>
          </w:tcPr>
          <w:p w14:paraId="71638E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6495" w:type="dxa"/>
            <w:tcBorders>
              <w:top w:val="single" w:color="000000" w:sz="4" w:space="0"/>
              <w:left w:val="single" w:color="000000" w:sz="4" w:space="0"/>
              <w:bottom w:val="single" w:color="000000" w:sz="4" w:space="0"/>
              <w:right w:val="single" w:color="000000" w:sz="4" w:space="0"/>
            </w:tcBorders>
            <w:shd w:val="clear"/>
            <w:vAlign w:val="center"/>
          </w:tcPr>
          <w:p w14:paraId="0278FE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农业农村部华南作物资源高效利用重点实验室（部省共建）</w:t>
            </w:r>
          </w:p>
        </w:tc>
        <w:tc>
          <w:tcPr>
            <w:tcW w:w="1939" w:type="dxa"/>
            <w:tcBorders>
              <w:top w:val="single" w:color="000000" w:sz="4" w:space="0"/>
              <w:left w:val="single" w:color="000000" w:sz="4" w:space="0"/>
              <w:bottom w:val="single" w:color="000000" w:sz="4" w:space="0"/>
              <w:right w:val="single" w:color="000000" w:sz="4" w:space="0"/>
            </w:tcBorders>
            <w:shd w:val="clear"/>
            <w:noWrap/>
            <w:vAlign w:val="center"/>
          </w:tcPr>
          <w:p w14:paraId="40C2DF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农学院</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491324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储成才</w:t>
            </w:r>
          </w:p>
        </w:tc>
      </w:tr>
    </w:tbl>
    <w:p w14:paraId="4E9B7736">
      <w:pPr>
        <w:jc w:val="center"/>
        <w:rPr>
          <w:rFonts w:hint="eastAsia" w:ascii="方正小标宋简体" w:hAnsi="方正小标宋简体" w:eastAsia="方正小标宋简体" w:cs="方正小标宋简体"/>
          <w:sz w:val="44"/>
          <w:szCs w:val="52"/>
          <w:lang w:val="en-US" w:eastAsia="zh-CN"/>
        </w:rPr>
      </w:pPr>
    </w:p>
    <w:p w14:paraId="755915B2">
      <w:pPr>
        <w:jc w:val="center"/>
        <w:rPr>
          <w:rFonts w:hint="eastAsia" w:ascii="方正小标宋简体" w:hAnsi="方正小标宋简体" w:eastAsia="方正小标宋简体" w:cs="方正小标宋简体"/>
          <w:sz w:val="44"/>
          <w:szCs w:val="52"/>
          <w:lang w:val="en-US" w:eastAsia="zh-CN"/>
        </w:rPr>
      </w:pPr>
    </w:p>
    <w:p w14:paraId="2AB67A95">
      <w:pPr>
        <w:jc w:val="both"/>
        <w:rPr>
          <w:rFonts w:hint="eastAsia" w:ascii="方正小标宋简体" w:hAnsi="方正小标宋简体" w:eastAsia="方正小标宋简体" w:cs="方正小标宋简体"/>
          <w:sz w:val="32"/>
          <w:szCs w:val="40"/>
          <w:lang w:val="en-US" w:eastAsia="zh-CN"/>
        </w:rPr>
      </w:pPr>
    </w:p>
    <w:p w14:paraId="5668F920">
      <w:pPr>
        <w:jc w:val="both"/>
        <w:rPr>
          <w:rFonts w:hint="eastAsia" w:ascii="方正公文小标宋" w:hAnsi="方正公文小标宋" w:eastAsia="方正公文小标宋" w:cs="方正公文小标宋"/>
          <w:sz w:val="32"/>
          <w:szCs w:val="40"/>
          <w:lang w:val="en-US" w:eastAsia="zh-CN"/>
        </w:rPr>
      </w:pPr>
      <w:r>
        <w:rPr>
          <w:rFonts w:hint="eastAsia" w:ascii="方正公文小标宋" w:hAnsi="方正公文小标宋" w:eastAsia="方正公文小标宋" w:cs="方正公文小标宋"/>
          <w:sz w:val="32"/>
          <w:szCs w:val="40"/>
          <w:lang w:val="en-US" w:eastAsia="zh-CN"/>
        </w:rPr>
        <w:t>附件4</w:t>
      </w:r>
    </w:p>
    <w:p w14:paraId="1D94B0F6">
      <w:pPr>
        <w:jc w:val="center"/>
        <w:rPr>
          <w:rFonts w:hint="eastAsia" w:ascii="方正公文小标宋" w:hAnsi="方正公文小标宋" w:eastAsia="方正公文小标宋" w:cs="方正公文小标宋"/>
          <w:sz w:val="44"/>
          <w:szCs w:val="52"/>
          <w:lang w:val="en-US" w:eastAsia="zh-CN"/>
        </w:rPr>
      </w:pPr>
      <w:r>
        <w:rPr>
          <w:rFonts w:hint="eastAsia" w:ascii="方正公文小标宋" w:hAnsi="方正公文小标宋" w:eastAsia="方正公文小标宋" w:cs="方正公文小标宋"/>
          <w:sz w:val="44"/>
          <w:szCs w:val="52"/>
          <w:lang w:val="en-US" w:eastAsia="zh-CN"/>
        </w:rPr>
        <w:t>广东省重点实验室清单</w:t>
      </w:r>
    </w:p>
    <w:p w14:paraId="36C61935">
      <w:pPr>
        <w:jc w:val="center"/>
        <w:rPr>
          <w:rFonts w:hint="eastAsia" w:ascii="方正小标宋简体" w:hAnsi="方正小标宋简体" w:eastAsia="方正小标宋简体" w:cs="方正小标宋简体"/>
          <w:sz w:val="44"/>
          <w:szCs w:val="52"/>
          <w:lang w:val="en-US" w:eastAsia="zh-CN"/>
        </w:rPr>
      </w:pPr>
    </w:p>
    <w:tbl>
      <w:tblPr>
        <w:tblW w:w="101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39"/>
        <w:gridCol w:w="6086"/>
        <w:gridCol w:w="2196"/>
        <w:gridCol w:w="1080"/>
      </w:tblGrid>
      <w:tr w14:paraId="5019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739" w:type="dxa"/>
            <w:tcBorders>
              <w:top w:val="single" w:color="000000" w:sz="4" w:space="0"/>
              <w:left w:val="single" w:color="000000" w:sz="4" w:space="0"/>
              <w:bottom w:val="single" w:color="auto" w:sz="4" w:space="0"/>
              <w:right w:val="single" w:color="000000" w:sz="4" w:space="0"/>
            </w:tcBorders>
            <w:shd w:val="clear"/>
            <w:noWrap/>
            <w:vAlign w:val="center"/>
          </w:tcPr>
          <w:p w14:paraId="24EF256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序号</w:t>
            </w:r>
          </w:p>
        </w:tc>
        <w:tc>
          <w:tcPr>
            <w:tcW w:w="6086" w:type="dxa"/>
            <w:tcBorders>
              <w:top w:val="single" w:color="000000" w:sz="4" w:space="0"/>
              <w:left w:val="single" w:color="000000" w:sz="4" w:space="0"/>
              <w:bottom w:val="single" w:color="auto" w:sz="4" w:space="0"/>
              <w:right w:val="single" w:color="000000" w:sz="4" w:space="0"/>
            </w:tcBorders>
            <w:shd w:val="clear"/>
            <w:noWrap/>
            <w:vAlign w:val="center"/>
          </w:tcPr>
          <w:p w14:paraId="5B2E2FF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平台名称</w:t>
            </w:r>
          </w:p>
        </w:tc>
        <w:tc>
          <w:tcPr>
            <w:tcW w:w="2196" w:type="dxa"/>
            <w:tcBorders>
              <w:top w:val="single" w:color="000000" w:sz="4" w:space="0"/>
              <w:left w:val="single" w:color="000000" w:sz="4" w:space="0"/>
              <w:bottom w:val="single" w:color="auto" w:sz="4" w:space="0"/>
              <w:right w:val="single" w:color="000000" w:sz="4" w:space="0"/>
            </w:tcBorders>
            <w:shd w:val="clear"/>
            <w:noWrap/>
            <w:vAlign w:val="center"/>
          </w:tcPr>
          <w:p w14:paraId="24987B2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所在学院</w:t>
            </w:r>
          </w:p>
        </w:tc>
        <w:tc>
          <w:tcPr>
            <w:tcW w:w="1080" w:type="dxa"/>
            <w:tcBorders>
              <w:top w:val="single" w:color="000000" w:sz="4" w:space="0"/>
              <w:left w:val="single" w:color="000000" w:sz="4" w:space="0"/>
              <w:bottom w:val="single" w:color="auto" w:sz="4" w:space="0"/>
              <w:right w:val="single" w:color="000000" w:sz="4" w:space="0"/>
            </w:tcBorders>
            <w:shd w:val="clear"/>
            <w:noWrap/>
            <w:vAlign w:val="center"/>
          </w:tcPr>
          <w:p w14:paraId="627D104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负责人</w:t>
            </w:r>
          </w:p>
        </w:tc>
      </w:tr>
      <w:tr w14:paraId="1901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7933C3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3780E9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广东省兽药研制与安全评价重点实验室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226A3A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兽医学院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4DD19C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孙  坚</w:t>
            </w:r>
          </w:p>
        </w:tc>
      </w:tr>
      <w:tr w14:paraId="69A5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3DABB4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7831A5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广东省（广州市）果蔬保鲜重点实验室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21F965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园艺学院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59A37C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陈建业</w:t>
            </w:r>
          </w:p>
        </w:tc>
      </w:tr>
      <w:tr w14:paraId="7A53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13757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5F2CF9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广东省植物分子育种重点实验室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05CD7D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农学院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3FF6D5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王少奎</w:t>
            </w:r>
          </w:p>
        </w:tc>
      </w:tr>
      <w:tr w14:paraId="05ED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7FD70A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7FB8B0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广东省动物源性人兽共患病预防与控制重点实验室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6E30A9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兽医学院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0411FE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张桂红</w:t>
            </w:r>
          </w:p>
        </w:tc>
      </w:tr>
      <w:tr w14:paraId="12C6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6E7D3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7090EC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广东省食品质量安全重点实验室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1E3C31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食品学院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5CD66D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雷红涛</w:t>
            </w:r>
          </w:p>
        </w:tc>
      </w:tr>
      <w:tr w14:paraId="614D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0E5AFB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7BD736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广东省农业动物基因组学与分子育种重点实验室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2A4134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动</w:t>
            </w:r>
            <w:bookmarkStart w:id="8" w:name="_GoBack"/>
            <w:bookmarkEnd w:id="8"/>
            <w:r>
              <w:rPr>
                <w:rFonts w:hint="eastAsia" w:ascii="仿宋" w:hAnsi="仿宋" w:eastAsia="仿宋" w:cs="仿宋"/>
                <w:i w:val="0"/>
                <w:iCs w:val="0"/>
                <w:color w:val="000000"/>
                <w:kern w:val="0"/>
                <w:sz w:val="24"/>
                <w:szCs w:val="24"/>
                <w:u w:val="none"/>
                <w:bdr w:val="none" w:color="auto" w:sz="0" w:space="0"/>
                <w:lang w:val="en-US" w:eastAsia="zh-CN" w:bidi="ar"/>
              </w:rPr>
              <w:t>物科学学院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6A14F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聂庆华</w:t>
            </w:r>
          </w:p>
        </w:tc>
      </w:tr>
      <w:tr w14:paraId="6531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39411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1E4D8B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广东省森林植物种质创新与利用重点实验室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737A95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林学与风景园林学院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06422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吴霭民</w:t>
            </w:r>
          </w:p>
        </w:tc>
      </w:tr>
      <w:tr w14:paraId="62C7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59DA13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09DBB0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广东省农业资源利用重点实验室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7E04D1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资源环境学院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21DFAC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李永涛</w:t>
            </w:r>
          </w:p>
        </w:tc>
      </w:tr>
      <w:tr w14:paraId="07CC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52CD33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012D1C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广东省微生物信号与作物病害防控重点实验室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0DCC4B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群体微生物研究中心</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62A4C0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邓懿祯</w:t>
            </w:r>
          </w:p>
        </w:tc>
      </w:tr>
      <w:tr w14:paraId="410F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36ED8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798BEC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广东省农业生物发育与环境适应重点实验室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7218EC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生命科学学院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4BDE4F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王应祥</w:t>
            </w:r>
          </w:p>
        </w:tc>
      </w:tr>
      <w:tr w14:paraId="4C7F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5CF1D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42F009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广东省动物营养调控重点实验室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1642D6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动物科学学院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48181F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江青艳</w:t>
            </w:r>
          </w:p>
        </w:tc>
      </w:tr>
      <w:tr w14:paraId="70D0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791124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06ACA6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广东省功能食品活性物重点实验室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1E3A7F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食品学院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4D43F4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曹  庸</w:t>
            </w:r>
          </w:p>
        </w:tc>
      </w:tr>
      <w:tr w14:paraId="46AE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07B00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588576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广东省农业农村污染治理与环境安全重点实验室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0EBDB9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资源环境学院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5CE1AA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仇荣亮</w:t>
            </w:r>
          </w:p>
        </w:tc>
      </w:tr>
      <w:tr w14:paraId="6F23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9" w:type="dxa"/>
            <w:tcBorders>
              <w:top w:val="single" w:color="auto" w:sz="4" w:space="0"/>
              <w:left w:val="single" w:color="auto" w:sz="4" w:space="0"/>
              <w:bottom w:val="single" w:color="auto" w:sz="4" w:space="0"/>
              <w:right w:val="single" w:color="auto" w:sz="4" w:space="0"/>
            </w:tcBorders>
            <w:shd w:val="clear"/>
            <w:noWrap/>
            <w:vAlign w:val="center"/>
          </w:tcPr>
          <w:p w14:paraId="30A6AF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w:t>
            </w:r>
          </w:p>
        </w:tc>
        <w:tc>
          <w:tcPr>
            <w:tcW w:w="6086" w:type="dxa"/>
            <w:tcBorders>
              <w:top w:val="single" w:color="auto" w:sz="4" w:space="0"/>
              <w:left w:val="single" w:color="auto" w:sz="4" w:space="0"/>
              <w:bottom w:val="single" w:color="auto" w:sz="4" w:space="0"/>
              <w:right w:val="single" w:color="auto" w:sz="4" w:space="0"/>
            </w:tcBorders>
            <w:shd w:val="clear"/>
            <w:vAlign w:val="center"/>
          </w:tcPr>
          <w:p w14:paraId="622509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广东省农业人工智能重点实验室</w:t>
            </w:r>
          </w:p>
        </w:tc>
        <w:tc>
          <w:tcPr>
            <w:tcW w:w="2196" w:type="dxa"/>
            <w:tcBorders>
              <w:top w:val="single" w:color="auto" w:sz="4" w:space="0"/>
              <w:left w:val="single" w:color="auto" w:sz="4" w:space="0"/>
              <w:bottom w:val="single" w:color="auto" w:sz="4" w:space="0"/>
              <w:right w:val="single" w:color="auto" w:sz="4" w:space="0"/>
            </w:tcBorders>
            <w:shd w:val="clear"/>
            <w:noWrap/>
            <w:vAlign w:val="center"/>
          </w:tcPr>
          <w:p w14:paraId="6C1A0A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工程学院</w:t>
            </w:r>
          </w:p>
        </w:tc>
        <w:tc>
          <w:tcPr>
            <w:tcW w:w="1080" w:type="dxa"/>
            <w:tcBorders>
              <w:top w:val="single" w:color="auto" w:sz="4" w:space="0"/>
              <w:left w:val="single" w:color="auto" w:sz="4" w:space="0"/>
              <w:bottom w:val="single" w:color="auto" w:sz="4" w:space="0"/>
              <w:right w:val="single" w:color="auto" w:sz="4" w:space="0"/>
            </w:tcBorders>
            <w:shd w:val="clear"/>
            <w:noWrap/>
            <w:vAlign w:val="center"/>
          </w:tcPr>
          <w:p w14:paraId="4D772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罗锡文</w:t>
            </w:r>
          </w:p>
        </w:tc>
      </w:tr>
    </w:tbl>
    <w:p w14:paraId="5A9B4A90">
      <w:pPr>
        <w:jc w:val="center"/>
        <w:rPr>
          <w:rFonts w:hint="eastAsia" w:ascii="方正小标宋简体" w:hAnsi="方正小标宋简体" w:eastAsia="方正小标宋简体" w:cs="方正小标宋简体"/>
          <w:sz w:val="44"/>
          <w:szCs w:val="5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712FEC-C644-4C4F-858D-96E3F45684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1B7E4C4-6C1C-4F21-A896-1CCD51D604EA}"/>
  </w:font>
  <w:font w:name="方正小标宋简体">
    <w:panose1 w:val="02000000000000000000"/>
    <w:charset w:val="86"/>
    <w:family w:val="auto"/>
    <w:pitch w:val="default"/>
    <w:sig w:usb0="00000001" w:usb1="08000000" w:usb2="00000000" w:usb3="00000000" w:csb0="00040000" w:csb1="00000000"/>
    <w:embedRegular r:id="rId3" w:fontKey="{A75A2526-FB92-4C42-964D-C2AC36C86A5D}"/>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4" w:fontKey="{024FAA15-5D64-4251-8C45-E2B37F2AC27A}"/>
  </w:font>
  <w:font w:name="微软雅黑">
    <w:panose1 w:val="020B0503020204020204"/>
    <w:charset w:val="86"/>
    <w:family w:val="auto"/>
    <w:pitch w:val="default"/>
    <w:sig w:usb0="80000287" w:usb1="2ACF3C50" w:usb2="00000016" w:usb3="00000000" w:csb0="0004001F" w:csb1="00000000"/>
    <w:embedRegular r:id="rId5" w:fontKey="{E3A67E21-01CE-479E-85BD-462D624F34AE}"/>
  </w:font>
  <w:font w:name="楷体_GB2312">
    <w:altName w:val="楷体"/>
    <w:panose1 w:val="00000000000000000000"/>
    <w:charset w:val="00"/>
    <w:family w:val="auto"/>
    <w:pitch w:val="default"/>
    <w:sig w:usb0="00000000" w:usb1="00000000" w:usb2="00000000" w:usb3="00000000" w:csb0="00000000" w:csb1="00000000"/>
    <w:embedRegular r:id="rId6" w:fontKey="{EF70E9E1-7059-458A-AA5C-D0FD9F6F5F36}"/>
  </w:font>
  <w:font w:name="Calibri Light">
    <w:panose1 w:val="020F0302020204030204"/>
    <w:charset w:val="00"/>
    <w:family w:val="auto"/>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7" w:fontKey="{C8DBC03F-F28D-43E5-9363-9F513014AD8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54F37"/>
    <w:rsid w:val="7B054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beforeLines="0" w:after="60" w:afterLines="0"/>
      <w:outlineLvl w:val="1"/>
    </w:pPr>
    <w:rPr>
      <w:rFonts w:ascii="Arial" w:hAnsi="Arial"/>
      <w:b/>
      <w:i/>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32"/>
      <w:szCs w:val="32"/>
      <w:lang w:val="en-US" w:eastAsia="zh-CN" w:bidi="ar-SA"/>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Indent 2"/>
    <w:basedOn w:val="1"/>
    <w:qFormat/>
    <w:uiPriority w:val="0"/>
    <w:pPr>
      <w:tabs>
        <w:tab w:val="left" w:pos="1896"/>
      </w:tabs>
      <w:spacing w:line="590" w:lineRule="exact"/>
      <w:ind w:firstLine="880"/>
    </w:pPr>
    <w:rPr>
      <w:rFonts w:ascii="Calibri" w:hAnsi="Calibri" w:eastAsia="方正仿宋_GBK"/>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2025-01-18T07:12:00Z</dcterms:created>
  <dc:creator>Regen</dc:creator>
  <cp:lastModifiedBy>Regen</cp:lastModifiedBy>
  <dcterms:modified xsi:type="dcterms:W3CDTF">2025-01-18T07:27:10Z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94C0D43AA9D6423F8A945EA2DC5D8F2F_11</vt:lpwstr>
  </property>
  <property fmtid="{D5CDD505-2E9C-101B-9397-08002B2CF9AE}" pid="4" name="KSOTemplateDocerSaveRecord">
    <vt:lpwstr>eyJoZGlkIjoiYjA2NThhZWVhZTdmNmU0MmU4MTNiOTc3NGQyMDUwMDIiLCJ1c2VySWQiOiI0MzA0ODc4MjUifQ==</vt:lpwstr>
  </property>
</Properties>
</file>