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942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409" w:tblpY="48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20"/>
      </w:tblGrid>
      <w:tr w14:paraId="23A1A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956EB8">
            <w:pPr>
              <w:jc w:val="both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B47FA">
            <w:pPr>
              <w:jc w:val="both"/>
            </w:pPr>
          </w:p>
        </w:tc>
      </w:tr>
    </w:tbl>
    <w:p w14:paraId="6A03384C">
      <w:pPr>
        <w:ind w:left="-540" w:leftChars="-257" w:firstLine="2530" w:firstLineChars="700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22257638">
      <w:pPr>
        <w:jc w:val="both"/>
        <w:rPr>
          <w:rFonts w:hint="default" w:ascii="Times New Roman" w:hAnsi="Times New Roman" w:eastAsia="黑体" w:cs="Times New Roman"/>
          <w:b/>
          <w:sz w:val="44"/>
          <w:szCs w:val="44"/>
          <w:lang w:eastAsia="zh-CN"/>
        </w:rPr>
      </w:pPr>
    </w:p>
    <w:p w14:paraId="1337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eastAsia="zh-CN"/>
        </w:rPr>
        <w:t>退役军人事务部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课题论证活页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3073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 w14:paraId="1151DC71">
            <w:pPr>
              <w:jc w:val="both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75DA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0080" w:type="dxa"/>
            <w:noWrap w:val="0"/>
            <w:vAlign w:val="top"/>
          </w:tcPr>
          <w:p w14:paraId="0F49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本表与《申请书》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有关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内容一致，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主要从课题研究意义、主要内容、基本思路和方法、重点难点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创新之处等方面进行论述。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总字数不超过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  <w:t>000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字。</w:t>
            </w:r>
          </w:p>
          <w:p w14:paraId="217D62A2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6CC8E6B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A7AF065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63E7DC0C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1C992D1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3A81110F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02A7FCD0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A6990D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40FB900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1C6BD2F7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7F4660D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619918E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0F1C698D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D105E9E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17A87811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E588C74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FB6743F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DB3CC50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966A3A8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271BD18E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3F5FC40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37C5C904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83B5FAE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2B8C3376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04F3B243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7F3991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E7BA3F0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D89743E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634BE75E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D37C660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2F90115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441DCE42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33FB54AC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637AC219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54CEE44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84D800E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1C8CE662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2C5546D2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D619A7A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E667C83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30D7A014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68FBDD57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723892B4"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</w:rPr>
            </w:pPr>
          </w:p>
          <w:p w14:paraId="5DC88546">
            <w:pPr>
              <w:jc w:val="both"/>
              <w:rPr>
                <w:rFonts w:hint="eastAsia" w:ascii="黑体" w:eastAsia="黑体"/>
                <w:sz w:val="30"/>
                <w:szCs w:val="30"/>
              </w:rPr>
            </w:pPr>
          </w:p>
          <w:p w14:paraId="758E8809">
            <w:pPr>
              <w:jc w:val="both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69616A7E">
      <w:pPr>
        <w:tabs>
          <w:tab w:val="left" w:pos="-540"/>
        </w:tabs>
        <w:ind w:left="-720" w:leftChars="-343" w:right="-359" w:rightChars="-171" w:firstLine="210" w:firstLineChars="1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 1.活页文字表述中不得直接或间接透露个人信息或相关背景资料，否则取消</w:t>
      </w:r>
      <w:r>
        <w:rPr>
          <w:rFonts w:hint="eastAsia" w:ascii="宋体" w:hAnsi="宋体" w:eastAsia="宋体" w:cs="宋体"/>
          <w:szCs w:val="21"/>
          <w:lang w:eastAsia="zh-CN"/>
        </w:rPr>
        <w:t>参与评审</w:t>
      </w:r>
      <w:r>
        <w:rPr>
          <w:rFonts w:hint="eastAsia" w:ascii="宋体" w:hAnsi="宋体" w:eastAsia="宋体" w:cs="宋体"/>
          <w:szCs w:val="21"/>
        </w:rPr>
        <w:t>资格。</w:t>
      </w:r>
    </w:p>
    <w:p w14:paraId="57E81312">
      <w:pPr>
        <w:tabs>
          <w:tab w:val="left" w:pos="-540"/>
        </w:tabs>
        <w:ind w:right="-359" w:rightChars="-171" w:firstLine="210" w:firstLineChars="100"/>
        <w:jc w:val="both"/>
      </w:pPr>
      <w:r>
        <w:rPr>
          <w:rFonts w:hint="eastAsia" w:ascii="宋体" w:hAnsi="宋体" w:eastAsia="宋体" w:cs="宋体"/>
          <w:szCs w:val="21"/>
        </w:rPr>
        <w:t>2.课题名称要与《申</w:t>
      </w:r>
      <w:r>
        <w:rPr>
          <w:rFonts w:hint="eastAsia" w:ascii="宋体" w:hAnsi="宋体" w:eastAsia="宋体" w:cs="宋体"/>
          <w:szCs w:val="21"/>
          <w:lang w:eastAsia="zh-CN"/>
        </w:rPr>
        <w:t>请</w:t>
      </w:r>
      <w:r>
        <w:rPr>
          <w:rFonts w:hint="eastAsia" w:ascii="宋体" w:hAnsi="宋体" w:eastAsia="宋体" w:cs="宋体"/>
          <w:szCs w:val="21"/>
        </w:rPr>
        <w:t>书》一致，一般不加副标题。前期相关研究成果只填成果名称、成果形式（如论文、专著、研究报告等），</w:t>
      </w:r>
      <w:r>
        <w:rPr>
          <w:rFonts w:hint="eastAsia" w:ascii="宋体" w:hAnsi="宋体" w:eastAsia="宋体" w:cs="宋体"/>
          <w:b/>
          <w:szCs w:val="21"/>
        </w:rPr>
        <w:t>不得填写作者姓名、单位、刊物或出版社名称、发表时间或刊期</w:t>
      </w:r>
      <w:r>
        <w:rPr>
          <w:rFonts w:hint="eastAsia" w:ascii="宋体" w:hAnsi="宋体" w:eastAsia="宋体" w:cs="宋体"/>
          <w:szCs w:val="21"/>
        </w:rPr>
        <w:t>等</w:t>
      </w:r>
      <w:r>
        <w:rPr>
          <w:rFonts w:hint="eastAsia" w:ascii="宋体" w:hAnsi="宋体" w:eastAsia="宋体" w:cs="宋体"/>
          <w:szCs w:val="21"/>
          <w:lang w:eastAsia="zh-CN"/>
        </w:rPr>
        <w:t>，填报的相关研究</w:t>
      </w:r>
      <w:r>
        <w:rPr>
          <w:rFonts w:hint="eastAsia" w:ascii="宋体" w:hAnsi="宋体" w:eastAsia="宋体" w:cs="宋体"/>
          <w:szCs w:val="21"/>
        </w:rPr>
        <w:t>成果</w:t>
      </w:r>
      <w:r>
        <w:rPr>
          <w:rFonts w:hint="eastAsia" w:ascii="宋体" w:hAnsi="宋体" w:eastAsia="宋体" w:cs="宋体"/>
          <w:szCs w:val="21"/>
          <w:lang w:eastAsia="zh-CN"/>
        </w:rPr>
        <w:t>不超过</w:t>
      </w:r>
      <w:r>
        <w:rPr>
          <w:rFonts w:hint="default" w:ascii="Times New Roman" w:hAnsi="Times New Roman" w:eastAsia="宋体" w:cs="Times New Roman"/>
          <w:szCs w:val="21"/>
          <w:lang w:val="en" w:eastAsia="zh-CN"/>
        </w:rPr>
        <w:t>20</w:t>
      </w:r>
      <w:r>
        <w:rPr>
          <w:rFonts w:hint="eastAsia" w:ascii="宋体" w:hAnsi="宋体" w:eastAsia="宋体" w:cs="宋体"/>
          <w:szCs w:val="21"/>
          <w:lang w:val="en-US" w:eastAsia="zh-CN"/>
        </w:rPr>
        <w:t>项</w:t>
      </w:r>
      <w:r>
        <w:rPr>
          <w:rFonts w:hint="eastAsia" w:ascii="宋体" w:hAnsi="宋体" w:eastAsia="宋体" w:cs="宋体"/>
          <w:szCs w:val="21"/>
        </w:rPr>
        <w:t>。</w:t>
      </w:r>
    </w:p>
    <w:p w14:paraId="6B523D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E7531"/>
    <w:rsid w:val="58FE7531"/>
    <w:rsid w:val="6BE5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2026-02-24T10:13:00Z</dcterms:created>
  <dc:creator>WPS_1717489222</dc:creator>
  <cp:lastModifiedBy>WPS_1717489222</cp:lastModifiedBy>
  <dcterms:modified xsi:type="dcterms:W3CDTF">2026-02-24T10:14:00Z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B4AC408E84F6483FAE383712CAEAC77A_11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