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“事件和举措”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申报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9" w:beforeLines="50" w:line="60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color w:val="000000"/>
          <w:sz w:val="28"/>
          <w:szCs w:val="36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36"/>
        </w:rPr>
        <w:t>报送单位（加盖印章）：                                   报送人及联系方式：</w:t>
      </w:r>
    </w:p>
    <w:tbl>
      <w:tblPr>
        <w:tblStyle w:val="6"/>
        <w:tblW w:w="14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53"/>
        <w:gridCol w:w="1888"/>
        <w:gridCol w:w="2112"/>
        <w:gridCol w:w="4150"/>
        <w:gridCol w:w="1562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地区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（单位）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事件或举措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事件或举措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摘要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联系人及联系方式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6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36"/>
                <w:lang w:eastAsia="zh-CN"/>
              </w:rPr>
              <w:t>十大事件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6"/>
              </w:rPr>
            </w:pPr>
          </w:p>
        </w:tc>
        <w:tc>
          <w:tcPr>
            <w:tcW w:w="4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6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6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基层改革创新举措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知识产权公共服务大事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小标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填写说明：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val="en-US" w:eastAsia="zh-CN"/>
        </w:rPr>
        <w:t>1.省有关单位只报送“十大事件”候选事件；2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.地区请按照行政区划规范填写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eastAsia="zh-CN"/>
        </w:rPr>
        <w:t>，省有关单位写单位名称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；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.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eastAsia="zh-CN"/>
        </w:rPr>
        <w:t>事件或举措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名称要精炼准确，不超过20个字；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.摘要重点突出典型做法和经验（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00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eastAsia="zh-CN"/>
        </w:rPr>
        <w:t>—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150字）；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.联系人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eastAsia="zh-CN"/>
        </w:rPr>
        <w:t>需同时留手机号码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7C78"/>
    <w:rsid w:val="53F1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2024-01-11T03:10:00Z</dcterms:created>
  <dc:creator>胡翌婧</dc:creator>
  <cp:lastModifiedBy>胡翌婧</cp:lastModifiedBy>
  <dcterms:modified xsi:type="dcterms:W3CDTF">2024-01-11T03:10:44Z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F72F2339DB6845A79D1E3C8586C0B056</vt:lpwstr>
  </property>
</Properties>
</file>