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6485C6">
      <w:pPr>
        <w:spacing w:line="580" w:lineRule="exact"/>
        <w:rPr>
          <w:rFonts w:hint="eastAsia" w:ascii="黑体" w:hAnsi="黑体" w:eastAsia="黑体" w:cs="Times New Roman"/>
          <w:sz w:val="32"/>
          <w:szCs w:val="32"/>
        </w:rPr>
      </w:pPr>
      <w:r>
        <w:rPr>
          <w:rFonts w:hint="eastAsia" w:ascii="黑体" w:hAnsi="黑体" w:eastAsia="黑体" w:cs="Times New Roman"/>
          <w:sz w:val="32"/>
          <w:szCs w:val="32"/>
          <w:lang w:val="en-US" w:eastAsia="zh-CN"/>
        </w:rPr>
        <w:t>附件1</w:t>
      </w:r>
    </w:p>
    <w:p w14:paraId="2BCA0D8C">
      <w:pPr>
        <w:keepNext w:val="0"/>
        <w:keepLines w:val="0"/>
        <w:pageBreakBefore w:val="0"/>
        <w:widowControl w:val="0"/>
        <w:kinsoku/>
        <w:wordWrap/>
        <w:overflowPunct/>
        <w:topLinePunct w:val="0"/>
        <w:autoSpaceDE/>
        <w:autoSpaceDN/>
        <w:bidi w:val="0"/>
        <w:adjustRightInd/>
        <w:snapToGrid w:val="0"/>
        <w:spacing w:line="760" w:lineRule="exact"/>
        <w:jc w:val="center"/>
        <w:textAlignment w:val="auto"/>
        <w:rPr>
          <w:rFonts w:hint="eastAsia" w:ascii="方正小标宋_GBK" w:hAnsi="方正小标宋_GBK" w:eastAsia="方正小标宋_GBK" w:cs="方正小标宋_GBK"/>
          <w:b w:val="0"/>
          <w:bCs w:val="0"/>
          <w:sz w:val="44"/>
          <w:szCs w:val="44"/>
          <w:lang w:bidi="ar"/>
        </w:rPr>
      </w:pPr>
      <w:r>
        <w:rPr>
          <w:rFonts w:hint="eastAsia" w:ascii="方正小标宋_GBK" w:hAnsi="方正小标宋_GBK" w:eastAsia="方正小标宋_GBK" w:cs="方正小标宋_GBK"/>
          <w:b w:val="0"/>
          <w:bCs w:val="0"/>
          <w:sz w:val="44"/>
          <w:szCs w:val="44"/>
          <w:lang w:bidi="ar"/>
        </w:rPr>
        <w:br w:type="textWrapping"/>
      </w:r>
      <w:r>
        <w:rPr>
          <w:rFonts w:hint="eastAsia" w:ascii="方正小标宋_GBK" w:hAnsi="方正小标宋_GBK" w:eastAsia="方正小标宋_GBK" w:cs="方正小标宋_GBK"/>
          <w:b w:val="0"/>
          <w:bCs w:val="0"/>
          <w:sz w:val="44"/>
          <w:szCs w:val="44"/>
          <w:lang w:bidi="ar"/>
        </w:rPr>
        <w:t>202</w:t>
      </w:r>
      <w:r>
        <w:rPr>
          <w:rFonts w:hint="eastAsia" w:ascii="方正小标宋_GBK" w:hAnsi="方正小标宋_GBK" w:eastAsia="方正小标宋_GBK" w:cs="方正小标宋_GBK"/>
          <w:b w:val="0"/>
          <w:bCs w:val="0"/>
          <w:sz w:val="44"/>
          <w:szCs w:val="44"/>
          <w:lang w:val="en-US" w:eastAsia="zh-CN" w:bidi="ar"/>
        </w:rPr>
        <w:t>7</w:t>
      </w:r>
      <w:r>
        <w:rPr>
          <w:rFonts w:hint="eastAsia" w:ascii="方正小标宋_GBK" w:hAnsi="方正小标宋_GBK" w:eastAsia="方正小标宋_GBK" w:cs="方正小标宋_GBK"/>
          <w:b w:val="0"/>
          <w:bCs w:val="0"/>
          <w:sz w:val="44"/>
          <w:szCs w:val="44"/>
          <w:lang w:bidi="ar"/>
        </w:rPr>
        <w:t>年度中国工程科技发展战略广东研究院咨询研究项目申报指南</w:t>
      </w:r>
    </w:p>
    <w:p w14:paraId="6D4AE94C">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p>
    <w:p w14:paraId="2315681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为全面贯彻党的二十大和二十届</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rPr>
        <w:t>中全会精神，深入贯彻落实习近平总书记视察广东重要讲话、重要指示精神，</w:t>
      </w:r>
      <w:r>
        <w:rPr>
          <w:rFonts w:hint="eastAsia" w:ascii="仿宋_GB2312" w:hAnsi="仿宋_GB2312" w:eastAsia="仿宋_GB2312" w:cs="仿宋_GB2312"/>
          <w:sz w:val="32"/>
          <w:szCs w:val="32"/>
          <w:lang w:val="en-US" w:eastAsia="zh-CN"/>
        </w:rPr>
        <w:t>全面贯彻落实省委“1310”具体部署，</w:t>
      </w:r>
      <w:r>
        <w:rPr>
          <w:rFonts w:hint="eastAsia" w:ascii="仿宋_GB2312" w:hAnsi="仿宋_GB2312" w:eastAsia="仿宋_GB2312" w:cs="仿宋_GB2312"/>
          <w:sz w:val="32"/>
          <w:szCs w:val="32"/>
        </w:rPr>
        <w:t>充分发挥中国工程院高端智库和院士</w:t>
      </w:r>
      <w:r>
        <w:rPr>
          <w:rFonts w:hint="eastAsia" w:ascii="仿宋_GB2312" w:hAnsi="仿宋_GB2312" w:eastAsia="仿宋_GB2312" w:cs="仿宋_GB2312"/>
          <w:sz w:val="32"/>
          <w:szCs w:val="32"/>
          <w:lang w:val="en-US" w:eastAsia="zh-CN"/>
        </w:rPr>
        <w:t>专家决策咨询</w:t>
      </w:r>
      <w:r>
        <w:rPr>
          <w:rFonts w:hint="eastAsia" w:ascii="仿宋_GB2312" w:hAnsi="仿宋_GB2312" w:eastAsia="仿宋_GB2312" w:cs="仿宋_GB2312"/>
          <w:sz w:val="32"/>
          <w:szCs w:val="32"/>
        </w:rPr>
        <w:t>作用，</w:t>
      </w:r>
      <w:r>
        <w:rPr>
          <w:rFonts w:hint="eastAsia" w:ascii="仿宋_GB2312" w:hAnsi="仿宋_GB2312" w:eastAsia="仿宋_GB2312" w:cs="仿宋_GB2312"/>
          <w:sz w:val="32"/>
          <w:szCs w:val="32"/>
          <w:lang w:val="en-US" w:eastAsia="zh-CN"/>
        </w:rPr>
        <w:t>紧密结合</w:t>
      </w:r>
      <w:r>
        <w:rPr>
          <w:rFonts w:hint="eastAsia" w:ascii="仿宋_GB2312" w:hAnsi="仿宋_GB2312" w:eastAsia="仿宋_GB2312" w:cs="仿宋_GB2312"/>
          <w:sz w:val="32"/>
          <w:szCs w:val="32"/>
        </w:rPr>
        <w:t>《广东省重点领域研发计划“十五五”行动方案》及人工智能赋能科学研究等最新战略安排，中国工程科技发展战略广东研究院（以下简称广东研究院）</w:t>
      </w:r>
      <w:r>
        <w:rPr>
          <w:rFonts w:hint="eastAsia" w:ascii="仿宋_GB2312" w:hAnsi="仿宋_GB2312" w:eastAsia="仿宋_GB2312" w:cs="仿宋_GB2312"/>
          <w:sz w:val="32"/>
          <w:szCs w:val="32"/>
          <w:lang w:val="en-US" w:eastAsia="zh-CN"/>
        </w:rPr>
        <w:t>现组织开展</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年度咨询研究项目申报</w:t>
      </w:r>
      <w:r>
        <w:rPr>
          <w:rFonts w:hint="eastAsia" w:ascii="仿宋_GB2312" w:hAnsi="仿宋_GB2312" w:eastAsia="仿宋_GB2312" w:cs="仿宋_GB2312"/>
          <w:sz w:val="32"/>
          <w:szCs w:val="32"/>
          <w:lang w:val="en-US" w:eastAsia="zh-CN"/>
        </w:rPr>
        <w:t>工作，申报</w:t>
      </w:r>
      <w:r>
        <w:rPr>
          <w:rFonts w:hint="eastAsia" w:ascii="仿宋_GB2312" w:hAnsi="仿宋_GB2312" w:eastAsia="仿宋_GB2312" w:cs="仿宋_GB2312"/>
          <w:sz w:val="32"/>
          <w:szCs w:val="32"/>
        </w:rPr>
        <w:t>指南</w:t>
      </w:r>
      <w:r>
        <w:rPr>
          <w:rFonts w:hint="eastAsia" w:ascii="仿宋_GB2312" w:hAnsi="仿宋_GB2312" w:eastAsia="仿宋_GB2312" w:cs="仿宋_GB2312"/>
          <w:sz w:val="32"/>
          <w:szCs w:val="32"/>
          <w:lang w:val="en-US" w:eastAsia="zh-CN"/>
        </w:rPr>
        <w:t>如下</w:t>
      </w:r>
      <w:r>
        <w:rPr>
          <w:rFonts w:hint="eastAsia" w:ascii="仿宋_GB2312" w:hAnsi="仿宋_GB2312" w:eastAsia="仿宋_GB2312" w:cs="仿宋_GB2312"/>
          <w:sz w:val="32"/>
          <w:szCs w:val="32"/>
        </w:rPr>
        <w:t>。</w:t>
      </w:r>
    </w:p>
    <w:p w14:paraId="6DD2F11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一、指导思想</w:t>
      </w:r>
    </w:p>
    <w:p w14:paraId="2FB5428A">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坚持以习近平新时代中国特色社会主义思想为指导，牢牢把握高质量发展首要任务，聚焦高水平科技自立自强与现代化产业体系建设。围绕粤港澳大湾区国际科技创新中心建设核心使命，以培育新质生产力为主线，统筹推进教育、科技、人才一体化发展。依托中国工程科技发展战略广东研究院平台优势，汇聚院士专家智力资源，面向世界科技前沿、面向经济主战场、面向国家重大需求、面向人民生命健康，开展具有战略性、前瞻性、针对性的工程科技战略咨询研究。通过系统研判技术演进趋势、产业变革路径与政策制度供给，为省委省政府科学决策提供高质量智力支撑，助力广东在新一轮科技革命和产业变革中抢占先机、赢得主动。</w:t>
      </w:r>
    </w:p>
    <w:p w14:paraId="5D36F94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二、选题原则</w:t>
      </w:r>
    </w:p>
    <w:p w14:paraId="0DC30995">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突出战略引领与需求导向。申报项目须紧密契合国家重大战略部署与广东省经济社会发展核心诉求。研究选题应立足广东产业基础与资源禀赋，聚焦制约高质量发展的全局性、关键性工程科技问题。坚持问题导向与目标导向相统一，确保研究成果能够直接服务于省委省政府重大决策、重点产业规划与重大工程布局，杜绝脱离实际需求的纯理论推演。</w:t>
      </w:r>
    </w:p>
    <w:p w14:paraId="0ED2ED1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突出前瞻布局与落地转化。研究内容应具备国际视野与前沿洞察力，准确把握人工智能、深海深地、量子信息、生物制造等颠覆性技术演进脉络。在强化战略预判的同时，高度重视研究成果的工程应用价值与政策可操作性。鼓励开展技术成熟度评估、产业化路径设计与政策工具包开发，推动咨询成果向技术标准、产业规划、制度规范等实体形态高效转化。</w:t>
      </w:r>
    </w:p>
    <w:p w14:paraId="61BBE4EE">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突出交叉融合与协同攻关。倡导打破学科壁垒与机构边界，鼓励跨领域、跨地域、跨体制的联合研究。重点支持高校院所、新型研发机构、科技领军企业与政府智库的深度协同。强化粤港澳三地创新要素联动，探索跨境科研合作机制与规则衔接路径。通过多学科交叉与产学研用深度融合，形成系统性、集成化的战略咨询解决方案。</w:t>
      </w:r>
    </w:p>
    <w:p w14:paraId="0F5044D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三、立项方向及参考选题</w:t>
      </w:r>
    </w:p>
    <w:p w14:paraId="4122969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（一）立项方向</w:t>
      </w:r>
    </w:p>
    <w:p w14:paraId="70F43856">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粤港澳大湾区国际科创中心建设。锚定粤港澳大湾区建成具有全球影响力的国际科技创新中心核心阶段性目标，全面对接国家创新驱动发展战略，遵循国家相关部委关于科创跨境融通、平台建设、体制机制创新的部署要求，紧扣广东省委、省政府建设科技强省、坚持制造业当家、深化粤港澳协同创新的具体安排，推动大湾区国际科创中心建设实现高质量跃升。研究内容包括但不限于深化粤港澳科创规则衔接，破解要素跨境流动堵点，打造链接全球的开放创新网络；聚焦“卡脖子”核心领域攻坚，优化战略科技力量布局，提质建设国家级重大科创平台。</w:t>
      </w:r>
    </w:p>
    <w:p w14:paraId="16E7024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加快广东省制造强省建设。深入贯彻落实习近平总书记、党中央关于建设制造强国的战略部署，落实广东省“制造业当家”核心战略,紧扣新型机电一体化作为高端制造核心支撑的定位，聚焦广东建设制造强省的战略需求，进一步推动科技创新和产业创新深度融合，持续提升“广东制造”品质、擦亮“广东制造”品牌。研究内容包括但不限于梳理广东新型机电一体化产业发展基础，研判当前产业链短板、核心技术断点与区域布局痛点；研判全球新型机电一体化技术与产业迭代趋势，结合广东制造基础，锚定优势突破赛道；研判依托粤港澳大湾区创新资源构建新型产业生态的路径，围绕产学研协同转化、应用场景开放提出优化方向。</w:t>
      </w:r>
    </w:p>
    <w:p w14:paraId="0E2800C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引领支撑现代化产业体系建设。立足广东省在中国式现代化建设中走在前列的使命定位，紧扣国家建设现代化产业体系的战略要求，聚焦广东制造业当家的核心任务，服务广东打造世界级产业集群的核心发展目标，稳步推进中国式现代化的广东实践，为全国高质量发展探索路径、作出示范，研究内容包括但不限于梳理广东建设现代化产业体系的基础禀赋与短板瓶颈，分析传统产业转型升级、战略性新兴产业集群发展、现代农业产业园、区域产业协同布局中的核心堵点；提出广东引领支撑全国现代化产业体系建设的具体战略举措，聚焦制造业高端化智能化绿色化转型、未来产业前瞻布局、产业开放创新体制改革等核心领域。</w:t>
      </w:r>
    </w:p>
    <w:p w14:paraId="66FEA4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4.人工智能赋能科学研究与范式变革。</w:t>
      </w:r>
      <w:r>
        <w:rPr>
          <w:rFonts w:hint="eastAsia" w:ascii="仿宋_GB2312" w:hAnsi="仿宋_GB2312" w:eastAsia="仿宋_GB2312" w:cs="仿宋_GB2312"/>
          <w:sz w:val="32"/>
          <w:szCs w:val="32"/>
        </w:rPr>
        <w:t>结合国务院《关于深入实施“人工智能+”行动的意见》，</w:t>
      </w:r>
      <w:r>
        <w:rPr>
          <w:rFonts w:hint="eastAsia" w:ascii="仿宋_GB2312" w:hAnsi="仿宋_GB2312" w:eastAsia="仿宋_GB2312" w:cs="仿宋_GB2312"/>
          <w:sz w:val="32"/>
          <w:szCs w:val="32"/>
          <w:lang w:val="en-US" w:eastAsia="zh-CN"/>
        </w:rPr>
        <w:t>围绕大模型机理、因果推断等核心基础理论开展战略研判，系统评估人工智能在复杂系统建模、跨尺度仿真与科学规律自主发现中的突破潜力，超算中心、智算中心与数据中心集群的异构算力统筹调度机制。研究内容包括但不限于人工智能赋能智慧实验室建设、传统产业数字化和智能化升级。研究高质量多模态科学数据集的采集、清洗、标注与安全治理规范，探索数据要素跨境流动与共享交易制度。针对广州国际生物岛、深圳河套、珠海唐家湾、东莞松山湖等AI科研高地建设，提出算力普惠服务与开源生态培育的专项政策建议。</w:t>
      </w:r>
    </w:p>
    <w:p w14:paraId="6D66D8F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（二）主要参考选题</w:t>
      </w:r>
    </w:p>
    <w:p w14:paraId="0377DB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申报的项目选题原则上应符合《指南》所列的主要研究方向，包括但不限于主要参考选题。</w:t>
      </w:r>
    </w:p>
    <w:p w14:paraId="215FD8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大湾区</w:t>
      </w:r>
      <w:r>
        <w:rPr>
          <w:rFonts w:hint="eastAsia" w:ascii="仿宋_GB2312" w:hAnsi="仿宋_GB2312" w:eastAsia="仿宋_GB2312" w:cs="仿宋_GB2312"/>
          <w:sz w:val="32"/>
          <w:szCs w:val="32"/>
          <w:lang w:eastAsia="zh-CN"/>
        </w:rPr>
        <w:t>高水平人才高地与全域创新生态体系构建研究</w:t>
      </w:r>
    </w:p>
    <w:p w14:paraId="3C6DF3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制度型开放下粤港澳大湾区跨境科技成果转化协同机制与路径研究</w:t>
      </w:r>
    </w:p>
    <w:p w14:paraId="37BAE4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大湾区生物制造创新体系和产业高质量发展战略研究</w:t>
      </w:r>
    </w:p>
    <w:p w14:paraId="102C52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大湾区陆海统筹“减污降碳”与生物多样性协同提升战略研究</w:t>
      </w:r>
    </w:p>
    <w:p w14:paraId="42FC0C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广东省</w:t>
      </w:r>
      <w:r>
        <w:rPr>
          <w:rFonts w:hint="eastAsia" w:ascii="仿宋_GB2312" w:hAnsi="仿宋_GB2312" w:eastAsia="仿宋_GB2312" w:cs="仿宋_GB2312"/>
          <w:sz w:val="32"/>
          <w:szCs w:val="32"/>
          <w:lang w:val="en-US" w:eastAsia="zh-CN"/>
        </w:rPr>
        <w:t>新型机电一体化产业发展战略</w:t>
      </w:r>
      <w:r>
        <w:rPr>
          <w:rFonts w:hint="eastAsia" w:ascii="仿宋_GB2312" w:hAnsi="仿宋_GB2312" w:eastAsia="仿宋_GB2312" w:cs="仿宋_GB2312"/>
          <w:sz w:val="32"/>
          <w:szCs w:val="32"/>
          <w:lang w:eastAsia="zh-CN"/>
        </w:rPr>
        <w:t>研究</w:t>
      </w:r>
    </w:p>
    <w:p w14:paraId="60BFAC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粤港澳大湾区具身智能产业发展战略研究</w:t>
      </w:r>
    </w:p>
    <w:p w14:paraId="2288E3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粤港澳大湾区智能建造与建筑工业化深度融合发展战略研究</w:t>
      </w:r>
    </w:p>
    <w:p w14:paraId="621F94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中国风电全产业链“出海”与全球标准策源地建设战略研究</w:t>
      </w:r>
    </w:p>
    <w:p w14:paraId="3C5A61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广东省</w:t>
      </w:r>
      <w:r>
        <w:rPr>
          <w:rFonts w:hint="eastAsia" w:ascii="仿宋_GB2312" w:hAnsi="仿宋_GB2312" w:eastAsia="仿宋_GB2312" w:cs="仿宋_GB2312"/>
          <w:sz w:val="32"/>
          <w:szCs w:val="32"/>
          <w:lang w:eastAsia="zh-CN"/>
        </w:rPr>
        <w:t>医疗智能装备前沿机器人技术的战略储备与产业布局研究</w:t>
      </w:r>
    </w:p>
    <w:p w14:paraId="178A85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广东省</w:t>
      </w:r>
      <w:r>
        <w:rPr>
          <w:rFonts w:hint="eastAsia" w:ascii="仿宋_GB2312" w:hAnsi="仿宋_GB2312" w:eastAsia="仿宋_GB2312" w:cs="仿宋_GB2312"/>
          <w:sz w:val="32"/>
          <w:szCs w:val="32"/>
          <w:lang w:eastAsia="zh-CN"/>
        </w:rPr>
        <w:t>深远海重大基础设施水下极端环境智能增材修复技术体系与装备战略研究</w:t>
      </w:r>
    </w:p>
    <w:p w14:paraId="6AF4D21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人工智能与能源双向赋能背景下广东沿海算力设施设备完整性提升及产业战略研究</w:t>
      </w:r>
    </w:p>
    <w:p w14:paraId="30B64E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人工智能赋能传统产业高质量发展路径战略研究</w:t>
      </w:r>
    </w:p>
    <w:p w14:paraId="76110B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“制造业当家”背景下广东省差异化零碳产业园区建设战略与实施路径研究</w:t>
      </w:r>
    </w:p>
    <w:p w14:paraId="18D2A2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广东省</w:t>
      </w:r>
      <w:r>
        <w:rPr>
          <w:rFonts w:hint="eastAsia" w:ascii="仿宋_GB2312" w:hAnsi="仿宋_GB2312" w:eastAsia="仿宋_GB2312" w:cs="仿宋_GB2312"/>
          <w:sz w:val="32"/>
          <w:szCs w:val="32"/>
          <w:lang w:eastAsia="zh-CN"/>
        </w:rPr>
        <w:t>战略矿产资源有效供给战略</w:t>
      </w:r>
      <w:r>
        <w:rPr>
          <w:rFonts w:hint="eastAsia" w:ascii="仿宋_GB2312" w:hAnsi="仿宋_GB2312" w:eastAsia="仿宋_GB2312" w:cs="仿宋_GB2312"/>
          <w:sz w:val="32"/>
          <w:szCs w:val="32"/>
          <w:lang w:val="en-US" w:eastAsia="zh-CN"/>
        </w:rPr>
        <w:t>研究</w:t>
      </w:r>
    </w:p>
    <w:p w14:paraId="232EF2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广东省</w:t>
      </w:r>
      <w:r>
        <w:rPr>
          <w:rFonts w:hint="eastAsia" w:ascii="仿宋_GB2312" w:hAnsi="仿宋_GB2312" w:eastAsia="仿宋_GB2312" w:cs="仿宋_GB2312"/>
          <w:sz w:val="32"/>
          <w:szCs w:val="32"/>
          <w:lang w:eastAsia="zh-CN"/>
        </w:rPr>
        <w:t>高性能增材制造技术体系创新与产业前瞻布局战略研究</w:t>
      </w:r>
    </w:p>
    <w:p w14:paraId="7B7C76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面向交通-能源转型协同的车网互动（V2G）发展路径和政策机制研究</w:t>
      </w:r>
    </w:p>
    <w:p w14:paraId="0DD96A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广东省新能源汽车产品全生命周期碳足迹核算与国际贸易碳壁垒应对策略研究</w:t>
      </w:r>
    </w:p>
    <w:p w14:paraId="3634F5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广东省</w:t>
      </w:r>
      <w:r>
        <w:rPr>
          <w:rFonts w:hint="eastAsia" w:ascii="仿宋_GB2312" w:hAnsi="仿宋_GB2312" w:eastAsia="仿宋_GB2312" w:cs="仿宋_GB2312"/>
          <w:sz w:val="32"/>
          <w:szCs w:val="32"/>
          <w:lang w:eastAsia="zh-CN"/>
        </w:rPr>
        <w:t>城乡融合高质量发展路径与政策研究</w:t>
      </w:r>
    </w:p>
    <w:p w14:paraId="00C74E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超大城市核心城区全域数字化转型中的人工智能基础能力建设及创新应用模式研究</w:t>
      </w:r>
    </w:p>
    <w:p w14:paraId="1FCDBD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统筹实景三维建设，推进数字广东高质量发展战略研究</w:t>
      </w:r>
    </w:p>
    <w:p w14:paraId="2BC1E6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广东省医学科学技术跨学科融合的优势挖掘、短板识别与协同发展路径研究</w:t>
      </w:r>
    </w:p>
    <w:p w14:paraId="649AB8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环“两山”“</w:t>
      </w:r>
      <w:r>
        <w:rPr>
          <w:rFonts w:hint="eastAsia" w:ascii="仿宋_GB2312" w:hAnsi="仿宋_GB2312" w:eastAsia="仿宋_GB2312" w:cs="仿宋_GB2312"/>
          <w:sz w:val="32"/>
          <w:szCs w:val="32"/>
          <w:lang w:val="en-US" w:eastAsia="zh-CN"/>
        </w:rPr>
        <w:t>两湖</w:t>
      </w:r>
      <w:r>
        <w:rPr>
          <w:rFonts w:hint="eastAsia" w:ascii="仿宋_GB2312" w:hAnsi="仿宋_GB2312" w:eastAsia="仿宋_GB2312" w:cs="仿宋_GB2312"/>
          <w:sz w:val="32"/>
          <w:szCs w:val="32"/>
          <w:lang w:eastAsia="zh-CN"/>
        </w:rPr>
        <w:t>”自然资源生态价值转化战略研究</w:t>
      </w:r>
    </w:p>
    <w:p w14:paraId="505D81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超大城市环境健康管理体系构建战略研究</w:t>
      </w:r>
    </w:p>
    <w:p w14:paraId="05E99D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广东省</w:t>
      </w:r>
      <w:r>
        <w:rPr>
          <w:rFonts w:hint="eastAsia" w:ascii="仿宋_GB2312" w:hAnsi="仿宋_GB2312" w:eastAsia="仿宋_GB2312" w:cs="仿宋_GB2312"/>
          <w:sz w:val="32"/>
          <w:szCs w:val="32"/>
          <w:lang w:eastAsia="zh-CN"/>
        </w:rPr>
        <w:t>智慧耕地保护与治理工程战略研究</w:t>
      </w:r>
    </w:p>
    <w:p w14:paraId="1A12D65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广东省</w:t>
      </w:r>
      <w:r>
        <w:rPr>
          <w:rFonts w:hint="eastAsia" w:ascii="仿宋_GB2312" w:hAnsi="仿宋_GB2312" w:eastAsia="仿宋_GB2312" w:cs="仿宋_GB2312"/>
          <w:sz w:val="32"/>
          <w:szCs w:val="32"/>
          <w:lang w:eastAsia="zh-CN"/>
        </w:rPr>
        <w:t>工科高校科技成果盘活策略和“先用后转”实施路径研究</w:t>
      </w:r>
    </w:p>
    <w:p w14:paraId="66558A4D">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FA661AB-7BFE-4B6E-A401-9807A8626F2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A0B80979-C28E-44F7-AB65-4BFE79E0AF0A}"/>
  </w:font>
  <w:font w:name="方正小标宋_GBK">
    <w:panose1 w:val="02000000000000000000"/>
    <w:charset w:val="86"/>
    <w:family w:val="auto"/>
    <w:pitch w:val="default"/>
    <w:sig w:usb0="A00002BF" w:usb1="38CF7CFA" w:usb2="00082016" w:usb3="00000000" w:csb0="00040001" w:csb1="00000000"/>
    <w:embedRegular r:id="rId3" w:fontKey="{2495A09E-3FE5-404E-B5D2-FFD072E81A1D}"/>
  </w:font>
  <w:font w:name="仿宋_GB2312">
    <w:panose1 w:val="02010609030101010101"/>
    <w:charset w:val="86"/>
    <w:family w:val="modern"/>
    <w:pitch w:val="default"/>
    <w:sig w:usb0="00000001" w:usb1="080E0000" w:usb2="00000000" w:usb3="00000000" w:csb0="00040000" w:csb1="00000000"/>
    <w:embedRegular r:id="rId4" w:fontKey="{97E02EDD-3CAB-4DD0-9083-D9E2F9F9A026}"/>
  </w:font>
  <w:font w:name="楷体_GB2312">
    <w:panose1 w:val="02010609030101010101"/>
    <w:charset w:val="86"/>
    <w:family w:val="modern"/>
    <w:pitch w:val="default"/>
    <w:sig w:usb0="00000001" w:usb1="080E0000" w:usb2="00000000" w:usb3="00000000" w:csb0="00040000" w:csb1="00000000"/>
    <w:embedRegular r:id="rId5" w:fontKey="{0F670E65-BB42-4E55-8BAF-8DE0F92888A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12010F"/>
    <w:rsid w:val="00417D65"/>
    <w:rsid w:val="02150E64"/>
    <w:rsid w:val="039001C5"/>
    <w:rsid w:val="06B016FA"/>
    <w:rsid w:val="07262748"/>
    <w:rsid w:val="086D2E6F"/>
    <w:rsid w:val="099959FA"/>
    <w:rsid w:val="0CAD5CB3"/>
    <w:rsid w:val="0E7552F4"/>
    <w:rsid w:val="111E4944"/>
    <w:rsid w:val="116C0364"/>
    <w:rsid w:val="14C67AD4"/>
    <w:rsid w:val="161F1259"/>
    <w:rsid w:val="174E6C62"/>
    <w:rsid w:val="188906A1"/>
    <w:rsid w:val="1DD73A44"/>
    <w:rsid w:val="203B16AF"/>
    <w:rsid w:val="2130357C"/>
    <w:rsid w:val="213429BC"/>
    <w:rsid w:val="222E3E43"/>
    <w:rsid w:val="22A86E08"/>
    <w:rsid w:val="23185B1C"/>
    <w:rsid w:val="23B02CF0"/>
    <w:rsid w:val="24EE6A93"/>
    <w:rsid w:val="28377B91"/>
    <w:rsid w:val="289C090C"/>
    <w:rsid w:val="28AB222B"/>
    <w:rsid w:val="2C9543BE"/>
    <w:rsid w:val="2E302D58"/>
    <w:rsid w:val="2EDF61F1"/>
    <w:rsid w:val="3081423D"/>
    <w:rsid w:val="35A55D45"/>
    <w:rsid w:val="35F9397E"/>
    <w:rsid w:val="36FF7532"/>
    <w:rsid w:val="38DF78B3"/>
    <w:rsid w:val="39F212AB"/>
    <w:rsid w:val="3B303F46"/>
    <w:rsid w:val="3B446407"/>
    <w:rsid w:val="3EE821EC"/>
    <w:rsid w:val="43DF4EAD"/>
    <w:rsid w:val="45B011AF"/>
    <w:rsid w:val="46D4110B"/>
    <w:rsid w:val="4B822560"/>
    <w:rsid w:val="4C413CDF"/>
    <w:rsid w:val="4C6B05F9"/>
    <w:rsid w:val="4E4802A4"/>
    <w:rsid w:val="4EA70A1E"/>
    <w:rsid w:val="4FB541DB"/>
    <w:rsid w:val="507513C1"/>
    <w:rsid w:val="534E215C"/>
    <w:rsid w:val="53583229"/>
    <w:rsid w:val="543D1DE0"/>
    <w:rsid w:val="55C6505F"/>
    <w:rsid w:val="55D56D82"/>
    <w:rsid w:val="5612010F"/>
    <w:rsid w:val="56CD7052"/>
    <w:rsid w:val="56F8621E"/>
    <w:rsid w:val="57914CA8"/>
    <w:rsid w:val="58F7768F"/>
    <w:rsid w:val="59BD69DD"/>
    <w:rsid w:val="5ADD5074"/>
    <w:rsid w:val="5E447B70"/>
    <w:rsid w:val="618E604D"/>
    <w:rsid w:val="658D4AC9"/>
    <w:rsid w:val="66CB6280"/>
    <w:rsid w:val="694C5CE1"/>
    <w:rsid w:val="6AD865B2"/>
    <w:rsid w:val="6BD92F02"/>
    <w:rsid w:val="6C4C3FCB"/>
    <w:rsid w:val="6DB42A00"/>
    <w:rsid w:val="7131070A"/>
    <w:rsid w:val="71F97322"/>
    <w:rsid w:val="72A16F14"/>
    <w:rsid w:val="7403396A"/>
    <w:rsid w:val="770461E2"/>
    <w:rsid w:val="7BE36034"/>
    <w:rsid w:val="7FFF11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2026-08-20T04:15:00Z</dcterms:created>
  <dc:creator>韩明明</dc:creator>
  <cp:lastModifiedBy>韩明明</cp:lastModifiedBy>
  <dcterms:modified xsi:type="dcterms:W3CDTF">2026-08-20T04:15:50Z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8044D7B0325A4D938D29B5EEABCE8F5E_11</vt:lpwstr>
  </property>
  <property fmtid="{D5CDD505-2E9C-101B-9397-08002B2CF9AE}" pid="4" name="KSOTemplateDocerSaveRecord">
    <vt:lpwstr>eyJoZGlkIjoiNTE5ZDk1MjBjZDUyZWVjNmFkNTJiNWNlODJiZTIyYzEiLCJ1c2VySWQiOiI0MjgzNDQ0ODUifQ==</vt:lpwstr>
  </property>
</Properties>
</file>