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846D6">
      <w:pPr>
        <w:adjustRightInd w:val="0"/>
        <w:snapToGrid w:val="0"/>
        <w:spacing w:beforeLines="0" w:afterLines="0" w:line="590" w:lineRule="exact"/>
        <w:ind w:left="0" w:leftChars="0" w:firstLine="0" w:firstLineChars="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4B447B43">
      <w:pPr>
        <w:pStyle w:val="7"/>
        <w:adjustRightInd w:val="0"/>
        <w:snapToGrid w:val="0"/>
        <w:spacing w:beforeLines="0" w:after="0" w:afterLines="0" w:line="590" w:lineRule="exact"/>
        <w:rPr>
          <w:rFonts w:hint="eastAsia" w:ascii="仿宋_GB2312" w:hAnsi="仿宋_GB2312" w:cs="仿宋_GB2312"/>
          <w:szCs w:val="32"/>
          <w:highlight w:val="none"/>
          <w:lang w:val="en-US" w:eastAsia="zh-CN"/>
        </w:rPr>
      </w:pPr>
    </w:p>
    <w:p w14:paraId="65028542">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动物疫病防控项目入库申报指南</w:t>
      </w:r>
    </w:p>
    <w:p w14:paraId="62223240">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beforeLines="0" w:afterLines="0" w:line="590" w:lineRule="exact"/>
        <w:ind w:leftChars="200" w:right="0" w:rightChars="0"/>
        <w:jc w:val="both"/>
        <w:textAlignment w:val="auto"/>
        <w:outlineLvl w:val="9"/>
        <w:rPr>
          <w:rFonts w:hint="eastAsia" w:ascii="仿宋_GB2312" w:hAnsi="仿宋_GB2312" w:eastAsia="仿宋_GB2312" w:cs="仿宋_GB2312"/>
          <w:bCs/>
          <w:kern w:val="0"/>
          <w:sz w:val="32"/>
          <w:szCs w:val="32"/>
          <w:highlight w:val="none"/>
          <w:lang w:eastAsia="zh-CN"/>
        </w:rPr>
      </w:pPr>
    </w:p>
    <w:p w14:paraId="5162F9B3">
      <w:pPr>
        <w:numPr>
          <w:ilvl w:val="0"/>
          <w:numId w:val="0"/>
        </w:numPr>
        <w:adjustRightInd w:val="0"/>
        <w:snapToGrid w:val="0"/>
        <w:spacing w:beforeLines="0" w:afterLines="0" w:line="590" w:lineRule="exact"/>
        <w:ind w:firstLine="632"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一、总体目标</w:t>
      </w:r>
    </w:p>
    <w:p w14:paraId="067C58D8">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展非洲猪瘟、布鲁氏菌病等重点动物疫病检测，推进无疫小区和净化场建设，开展重点动物疫病流行病学调查、家禽禽流感流行和变异规律调查，及时掌握相关疫病的流行状况，科学指导重点动物疫病防控工作；开展生猪屠宰质量管理规范（屠宰GMP)技术指导，加快推进生猪屠宰规范化管理。通过项目实施，有效防控非洲猪瘟等重点动物疫病，保障畜禽产品有效供给，提升生猪产品质量安全水平。</w:t>
      </w:r>
    </w:p>
    <w:p w14:paraId="0C00A4A9">
      <w:pPr>
        <w:numPr>
          <w:ilvl w:val="0"/>
          <w:numId w:val="0"/>
        </w:numPr>
        <w:adjustRightInd w:val="0"/>
        <w:snapToGrid w:val="0"/>
        <w:spacing w:beforeLines="0" w:afterLines="0" w:line="590" w:lineRule="exact"/>
        <w:ind w:firstLine="632"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二、扶持项目</w:t>
      </w:r>
    </w:p>
    <w:p w14:paraId="0D180450">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bCs/>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（一）牲畜重点疫病检测及流行病学调查</w:t>
      </w:r>
    </w:p>
    <w:p w14:paraId="5DAEF827">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1.建设内容</w:t>
      </w:r>
    </w:p>
    <w:p w14:paraId="4CAD691C">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Cs/>
          <w:color w:val="auto"/>
          <w:kern w:val="0"/>
          <w:szCs w:val="32"/>
          <w:highlight w:val="none"/>
          <w:lang w:val="en-US" w:eastAsia="zh-CN"/>
        </w:rPr>
      </w:pPr>
      <w:r>
        <w:rPr>
          <w:rFonts w:hint="eastAsia" w:ascii="仿宋_GB2312" w:hAnsi="仿宋_GB2312" w:eastAsia="仿宋_GB2312" w:cs="仿宋_GB2312"/>
          <w:bCs/>
          <w:color w:val="auto"/>
          <w:kern w:val="0"/>
          <w:szCs w:val="32"/>
          <w:highlight w:val="none"/>
          <w:lang w:val="en-US" w:eastAsia="zh-CN"/>
        </w:rPr>
        <w:t>对2025年广东省内申请净化场评估的养殖场，检测猪伪狂犬病、猪繁殖与呼吸综合征、布鲁氏菌病和牛结核病等病种。对2025年广东省内申请无疫小区评估的养殖场，检测非洲猪瘟、布鲁氏菌病等病种。开展省内家畜非洲猪瘟、布鲁氏菌病、小反刍兽疫等流行病学调查，进行相关动物疫病的抗原和抗体检测，分析相关动物疫病的流行特点和流行趋势。</w:t>
      </w:r>
    </w:p>
    <w:p w14:paraId="375BE8B4">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2.绩效目标</w:t>
      </w:r>
    </w:p>
    <w:p w14:paraId="018E392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按时、准确完成相关动物疫病检测任务，净化场评估样品检测量不低于1000份，无疫小区评估样品不低于400份，并出具检测报告，配合做好猪牛羊病净化场和无疫小区验收工作，为净化场和无疫小区建设提供技术支撑。采集并检测口鼻、肛门棉拭子样品和血清样品各800份，及时、科学分析相关动物疫病发生发展形势，提出防控的意见建议，形成1份流行病学调查报告。</w:t>
      </w:r>
    </w:p>
    <w:p w14:paraId="3A7C04B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eastAsia="zh-CN"/>
        </w:rPr>
      </w:pPr>
      <w:r>
        <w:rPr>
          <w:rFonts w:hint="eastAsia" w:ascii="仿宋_GB2312" w:hAnsi="仿宋_GB2312" w:eastAsia="仿宋_GB2312" w:cs="仿宋_GB2312"/>
          <w:b w:val="0"/>
          <w:bCs w:val="0"/>
          <w:color w:val="auto"/>
          <w:spacing w:val="0"/>
          <w:kern w:val="0"/>
          <w:sz w:val="32"/>
          <w:szCs w:val="32"/>
          <w:highlight w:val="none"/>
          <w:lang w:val="en-US" w:eastAsia="zh-CN"/>
        </w:rPr>
        <w:t>3.</w:t>
      </w:r>
      <w:r>
        <w:rPr>
          <w:rFonts w:hint="eastAsia" w:ascii="仿宋_GB2312" w:hAnsi="仿宋_GB2312" w:eastAsia="仿宋_GB2312" w:cs="仿宋_GB2312"/>
          <w:b w:val="0"/>
          <w:bCs w:val="0"/>
          <w:color w:val="auto"/>
          <w:spacing w:val="0"/>
          <w:kern w:val="0"/>
          <w:sz w:val="32"/>
          <w:szCs w:val="32"/>
          <w:highlight w:val="none"/>
        </w:rPr>
        <w:t>申报对象及条件</w:t>
      </w:r>
    </w:p>
    <w:p w14:paraId="46F4E04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广东</w:t>
      </w:r>
      <w:r>
        <w:rPr>
          <w:rFonts w:hint="default" w:ascii="仿宋_GB2312" w:hAnsi="仿宋_GB2312" w:eastAsia="仿宋_GB2312" w:cs="仿宋_GB2312"/>
          <w:bCs/>
          <w:color w:val="000000"/>
          <w:kern w:val="0"/>
          <w:sz w:val="32"/>
          <w:szCs w:val="32"/>
          <w:highlight w:val="none"/>
          <w:lang w:val="en-US" w:eastAsia="zh-CN" w:bidi="ar-SA"/>
        </w:rPr>
        <w:t>省内高</w:t>
      </w:r>
      <w:r>
        <w:rPr>
          <w:rFonts w:hint="eastAsia" w:ascii="仿宋_GB2312" w:hAnsi="仿宋_GB2312" w:eastAsia="仿宋_GB2312" w:cs="仿宋_GB2312"/>
          <w:bCs/>
          <w:color w:val="000000"/>
          <w:kern w:val="0"/>
          <w:sz w:val="32"/>
          <w:szCs w:val="32"/>
          <w:highlight w:val="none"/>
          <w:lang w:val="en-US" w:eastAsia="zh-CN" w:bidi="ar-SA"/>
        </w:rPr>
        <w:t>等院</w:t>
      </w:r>
      <w:r>
        <w:rPr>
          <w:rFonts w:hint="default" w:ascii="仿宋_GB2312" w:hAnsi="仿宋_GB2312" w:eastAsia="仿宋_GB2312" w:cs="仿宋_GB2312"/>
          <w:bCs/>
          <w:color w:val="000000"/>
          <w:kern w:val="0"/>
          <w:sz w:val="32"/>
          <w:szCs w:val="32"/>
          <w:highlight w:val="none"/>
          <w:lang w:val="en-US" w:eastAsia="zh-CN" w:bidi="ar-SA"/>
        </w:rPr>
        <w:t>校</w:t>
      </w:r>
      <w:r>
        <w:rPr>
          <w:rFonts w:hint="eastAsia" w:ascii="仿宋_GB2312" w:hAnsi="仿宋_GB2312" w:eastAsia="仿宋_GB2312" w:cs="仿宋_GB2312"/>
          <w:bCs/>
          <w:color w:val="000000"/>
          <w:kern w:val="0"/>
          <w:sz w:val="32"/>
          <w:szCs w:val="32"/>
          <w:highlight w:val="none"/>
          <w:lang w:val="en-US" w:eastAsia="zh-CN" w:bidi="ar-SA"/>
        </w:rPr>
        <w:t>、</w:t>
      </w:r>
      <w:r>
        <w:rPr>
          <w:rFonts w:hint="default" w:ascii="仿宋_GB2312" w:hAnsi="仿宋_GB2312" w:eastAsia="仿宋_GB2312" w:cs="仿宋_GB2312"/>
          <w:bCs/>
          <w:color w:val="000000"/>
          <w:kern w:val="0"/>
          <w:sz w:val="32"/>
          <w:szCs w:val="32"/>
          <w:highlight w:val="none"/>
          <w:lang w:val="en-US" w:eastAsia="zh-CN" w:bidi="ar-SA"/>
        </w:rPr>
        <w:t>科研院所</w:t>
      </w:r>
      <w:r>
        <w:rPr>
          <w:rFonts w:hint="eastAsia" w:ascii="仿宋_GB2312" w:hAnsi="仿宋_GB2312" w:eastAsia="仿宋_GB2312" w:cs="仿宋_GB2312"/>
          <w:color w:val="auto"/>
          <w:kern w:val="0"/>
          <w:sz w:val="32"/>
          <w:szCs w:val="32"/>
          <w:highlight w:val="none"/>
          <w:lang w:val="en-US" w:eastAsia="zh-CN"/>
        </w:rPr>
        <w:t>、企事业单位</w:t>
      </w:r>
      <w:r>
        <w:rPr>
          <w:rFonts w:hint="default" w:ascii="仿宋_GB2312" w:hAnsi="仿宋_GB2312" w:eastAsia="仿宋_GB2312" w:cs="仿宋_GB2312"/>
          <w:bCs/>
          <w:color w:val="000000"/>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具备相关动物疫病检测的资质条件，具有良好的牲畜疫病检测和研究能力。</w:t>
      </w:r>
    </w:p>
    <w:p w14:paraId="44BBED8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4.项目资金额度</w:t>
      </w:r>
    </w:p>
    <w:p w14:paraId="3A8F69C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申请额度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14:paraId="1743B60E">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（二）家禽重点疫病检测及流行病学调查</w:t>
      </w:r>
    </w:p>
    <w:p w14:paraId="5179D287">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1.建设内容</w:t>
      </w:r>
    </w:p>
    <w:p w14:paraId="65B7E6E1">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Cs/>
          <w:color w:val="auto"/>
          <w:kern w:val="0"/>
          <w:szCs w:val="32"/>
          <w:highlight w:val="none"/>
          <w:lang w:val="en-US" w:eastAsia="zh-CN"/>
        </w:rPr>
        <w:t>对2025年广东省各地申请省级净化场评估的规模化种禽场，检测禽白血病等病种。开展省内重点养殖地区种禽场禽白血病、新城疫、小鹅瘟等主要种源性疫病流行病学调查，分析相关动物疫病的流行特点和流行趋势。</w:t>
      </w:r>
    </w:p>
    <w:p w14:paraId="2D446524">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2.绩效目标</w:t>
      </w:r>
    </w:p>
    <w:p w14:paraId="1DE469FD">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Cs/>
          <w:color w:val="auto"/>
          <w:kern w:val="0"/>
          <w:szCs w:val="32"/>
          <w:highlight w:val="none"/>
          <w:lang w:val="en-US" w:eastAsia="zh-CN"/>
        </w:rPr>
      </w:pPr>
      <w:r>
        <w:rPr>
          <w:rFonts w:hint="eastAsia" w:ascii="仿宋_GB2312" w:hAnsi="仿宋_GB2312" w:eastAsia="仿宋_GB2312" w:cs="仿宋_GB2312"/>
          <w:bCs/>
          <w:color w:val="auto"/>
          <w:kern w:val="0"/>
          <w:szCs w:val="32"/>
          <w:highlight w:val="none"/>
          <w:lang w:val="en-US" w:eastAsia="zh-CN"/>
        </w:rPr>
        <w:t>按时、准确完成禽病检测任务，样品检测量不低于1000份，并出具检测报告，配合做好家禽净化评估工作，为净化场建设提供技术支撑。采集和检测血样、蛋清样品不少于2000份，及时、科学分析相关禽病发生发展形势，提出防控的意见建议，形成1份流行病学调查报告。</w:t>
      </w:r>
    </w:p>
    <w:p w14:paraId="2EEC00C8">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3.申报对象及条件</w:t>
      </w:r>
    </w:p>
    <w:p w14:paraId="264CB91B">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广东</w:t>
      </w:r>
      <w:r>
        <w:rPr>
          <w:rFonts w:hint="default" w:ascii="仿宋_GB2312" w:hAnsi="仿宋_GB2312" w:eastAsia="仿宋_GB2312" w:cs="仿宋_GB2312"/>
          <w:bCs/>
          <w:color w:val="000000"/>
          <w:kern w:val="0"/>
          <w:sz w:val="32"/>
          <w:szCs w:val="32"/>
          <w:highlight w:val="none"/>
          <w:lang w:val="en-US" w:eastAsia="zh-CN" w:bidi="ar-SA"/>
        </w:rPr>
        <w:t>省内高</w:t>
      </w:r>
      <w:r>
        <w:rPr>
          <w:rFonts w:hint="eastAsia" w:ascii="仿宋_GB2312" w:hAnsi="仿宋_GB2312" w:eastAsia="仿宋_GB2312" w:cs="仿宋_GB2312"/>
          <w:bCs/>
          <w:color w:val="000000"/>
          <w:kern w:val="0"/>
          <w:sz w:val="32"/>
          <w:szCs w:val="32"/>
          <w:highlight w:val="none"/>
          <w:lang w:val="en-US" w:eastAsia="zh-CN" w:bidi="ar-SA"/>
        </w:rPr>
        <w:t>等院</w:t>
      </w:r>
      <w:r>
        <w:rPr>
          <w:rFonts w:hint="default" w:ascii="仿宋_GB2312" w:hAnsi="仿宋_GB2312" w:eastAsia="仿宋_GB2312" w:cs="仿宋_GB2312"/>
          <w:bCs/>
          <w:color w:val="000000"/>
          <w:kern w:val="0"/>
          <w:sz w:val="32"/>
          <w:szCs w:val="32"/>
          <w:highlight w:val="none"/>
          <w:lang w:val="en-US" w:eastAsia="zh-CN" w:bidi="ar-SA"/>
        </w:rPr>
        <w:t>校</w:t>
      </w:r>
      <w:r>
        <w:rPr>
          <w:rFonts w:hint="eastAsia" w:ascii="仿宋_GB2312" w:hAnsi="仿宋_GB2312" w:eastAsia="仿宋_GB2312" w:cs="仿宋_GB2312"/>
          <w:bCs/>
          <w:color w:val="000000"/>
          <w:kern w:val="0"/>
          <w:sz w:val="32"/>
          <w:szCs w:val="32"/>
          <w:highlight w:val="none"/>
          <w:lang w:val="en-US" w:eastAsia="zh-CN" w:bidi="ar-SA"/>
        </w:rPr>
        <w:t>、</w:t>
      </w:r>
      <w:r>
        <w:rPr>
          <w:rFonts w:hint="default" w:ascii="仿宋_GB2312" w:hAnsi="仿宋_GB2312" w:eastAsia="仿宋_GB2312" w:cs="仿宋_GB2312"/>
          <w:bCs/>
          <w:color w:val="000000"/>
          <w:kern w:val="0"/>
          <w:sz w:val="32"/>
          <w:szCs w:val="32"/>
          <w:highlight w:val="none"/>
          <w:lang w:val="en-US" w:eastAsia="zh-CN" w:bidi="ar-SA"/>
        </w:rPr>
        <w:t>科研院所</w:t>
      </w:r>
      <w:r>
        <w:rPr>
          <w:rFonts w:hint="eastAsia" w:ascii="仿宋_GB2312" w:hAnsi="仿宋_GB2312" w:eastAsia="仿宋_GB2312" w:cs="仿宋_GB2312"/>
          <w:color w:val="auto"/>
          <w:kern w:val="0"/>
          <w:sz w:val="32"/>
          <w:szCs w:val="32"/>
          <w:highlight w:val="none"/>
          <w:lang w:val="en-US" w:eastAsia="zh-CN"/>
        </w:rPr>
        <w:t>、企事业单位</w:t>
      </w:r>
      <w:r>
        <w:rPr>
          <w:rFonts w:hint="default" w:ascii="仿宋_GB2312" w:hAnsi="仿宋_GB2312" w:eastAsia="仿宋_GB2312" w:cs="仿宋_GB2312"/>
          <w:bCs/>
          <w:color w:val="000000"/>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具备相关动物疫病检测的资质条件，</w:t>
      </w:r>
      <w:r>
        <w:rPr>
          <w:rFonts w:hint="eastAsia" w:ascii="仿宋_GB2312" w:hAnsi="仿宋_GB2312" w:eastAsia="仿宋_GB2312" w:cs="仿宋_GB2312"/>
          <w:color w:val="auto"/>
          <w:kern w:val="0"/>
          <w:sz w:val="32"/>
          <w:szCs w:val="32"/>
          <w:highlight w:val="none"/>
          <w:lang w:val="en-US" w:eastAsia="zh-CN" w:bidi="ar-SA"/>
        </w:rPr>
        <w:t>有良好的家禽疫病检测和研究能力。</w:t>
      </w:r>
    </w:p>
    <w:p w14:paraId="3C40A73B">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pacing w:val="0"/>
          <w:kern w:val="0"/>
          <w:sz w:val="32"/>
          <w:szCs w:val="32"/>
          <w:highlight w:val="none"/>
          <w:lang w:val="en-US" w:eastAsia="zh-CN"/>
        </w:rPr>
        <w:t>4.</w:t>
      </w:r>
      <w:r>
        <w:rPr>
          <w:rFonts w:hint="eastAsia" w:ascii="仿宋_GB2312" w:hAnsi="仿宋_GB2312" w:eastAsia="仿宋_GB2312" w:cs="仿宋_GB2312"/>
          <w:b w:val="0"/>
          <w:bCs w:val="0"/>
          <w:color w:val="auto"/>
          <w:kern w:val="0"/>
          <w:sz w:val="32"/>
          <w:szCs w:val="32"/>
          <w:highlight w:val="none"/>
        </w:rPr>
        <w:t>项目资金额度</w:t>
      </w:r>
    </w:p>
    <w:p w14:paraId="05F7F81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14:paraId="7B36144E">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（三）家禽禽流感流行和变异规律调查</w:t>
      </w:r>
    </w:p>
    <w:p w14:paraId="39D53A0E">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1.建设内容</w:t>
      </w:r>
    </w:p>
    <w:p w14:paraId="6AA96291">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针对广东省家禽禽流感病毒流行与变异规律等关键科学问题，开展家禽H5、H7、H9等亚型禽流感病毒的分离鉴定、遗传变异、分子溯源和风险预警研究，完善家禽禽流感病原学和流行病学数据库，揭示家禽禽流感流行规律和趋势，完成对H5、H7、H9等亚型禽流感疫苗保护效果的评估；对H5、H7、H9亚型禽流感疫情进行应急研判，为禽流感防控措施的制定和优化提供科学依据。</w:t>
      </w:r>
    </w:p>
    <w:p w14:paraId="04EFE05A">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2.绩效目标</w:t>
      </w:r>
    </w:p>
    <w:p w14:paraId="05CB83CC">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持续</w:t>
      </w:r>
      <w:r>
        <w:rPr>
          <w:rFonts w:hint="eastAsia" w:ascii="仿宋_GB2312" w:hAnsi="仿宋_GB2312" w:eastAsia="仿宋_GB2312" w:cs="仿宋_GB2312"/>
          <w:bCs/>
          <w:color w:val="auto"/>
          <w:kern w:val="0"/>
          <w:szCs w:val="32"/>
          <w:highlight w:val="none"/>
          <w:lang w:val="en-US" w:eastAsia="zh-CN"/>
        </w:rPr>
        <w:t>开展禽流感疫情流行态势分析，对高致病性禽流感疫情发生风险进行研判和预警，制备H5、H7、H9等亚型禽流感病毒抗血清不少于10株，形成1份家禽禽流感疫情研判和病毒变异分析报告</w:t>
      </w:r>
      <w:r>
        <w:rPr>
          <w:rFonts w:hint="eastAsia" w:ascii="仿宋_GB2312" w:hAnsi="仿宋_GB2312" w:eastAsia="仿宋_GB2312" w:cs="仿宋_GB2312"/>
          <w:color w:val="auto"/>
          <w:kern w:val="0"/>
          <w:sz w:val="32"/>
          <w:szCs w:val="32"/>
          <w:highlight w:val="none"/>
          <w:lang w:val="en-US" w:eastAsia="zh-CN"/>
        </w:rPr>
        <w:t>。</w:t>
      </w:r>
    </w:p>
    <w:p w14:paraId="0B5CAD12">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3.申报对象及条件</w:t>
      </w:r>
    </w:p>
    <w:p w14:paraId="46043953">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国内</w:t>
      </w:r>
      <w:r>
        <w:rPr>
          <w:rFonts w:hint="eastAsia" w:ascii="仿宋_GB2312" w:hAnsi="仿宋_GB2312" w:eastAsia="仿宋_GB2312" w:cs="仿宋_GB2312"/>
          <w:color w:val="auto"/>
          <w:kern w:val="0"/>
          <w:sz w:val="32"/>
          <w:szCs w:val="32"/>
          <w:highlight w:val="none"/>
        </w:rPr>
        <w:t>高</w:t>
      </w:r>
      <w:r>
        <w:rPr>
          <w:rFonts w:hint="eastAsia" w:ascii="仿宋_GB2312" w:hAnsi="仿宋_GB2312" w:eastAsia="仿宋_GB2312" w:cs="仿宋_GB2312"/>
          <w:color w:val="auto"/>
          <w:kern w:val="0"/>
          <w:sz w:val="32"/>
          <w:szCs w:val="32"/>
          <w:highlight w:val="none"/>
          <w:lang w:eastAsia="zh-CN"/>
        </w:rPr>
        <w:t>等院</w:t>
      </w:r>
      <w:r>
        <w:rPr>
          <w:rFonts w:hint="eastAsia" w:ascii="仿宋_GB2312" w:hAnsi="仿宋_GB2312" w:eastAsia="仿宋_GB2312" w:cs="仿宋_GB2312"/>
          <w:color w:val="auto"/>
          <w:kern w:val="0"/>
          <w:sz w:val="32"/>
          <w:szCs w:val="32"/>
          <w:highlight w:val="none"/>
        </w:rPr>
        <w:t>校或科研院所，</w:t>
      </w:r>
      <w:r>
        <w:rPr>
          <w:rFonts w:hint="eastAsia" w:ascii="仿宋_GB2312" w:hAnsi="仿宋_GB2312" w:eastAsia="仿宋_GB2312" w:cs="仿宋_GB2312"/>
          <w:color w:val="auto"/>
          <w:kern w:val="0"/>
          <w:sz w:val="32"/>
          <w:szCs w:val="32"/>
          <w:highlight w:val="none"/>
          <w:lang w:val="en-US" w:eastAsia="zh-CN"/>
        </w:rPr>
        <w:t>具备禽流感病毒分离、研究的资质条件，有</w:t>
      </w:r>
      <w:r>
        <w:rPr>
          <w:rFonts w:hint="eastAsia" w:ascii="仿宋_GB2312" w:hAnsi="仿宋_GB2312" w:eastAsia="仿宋_GB2312" w:cs="仿宋_GB2312"/>
          <w:color w:val="auto"/>
          <w:kern w:val="0"/>
          <w:sz w:val="32"/>
          <w:szCs w:val="32"/>
          <w:highlight w:val="none"/>
        </w:rPr>
        <w:t>良好的</w:t>
      </w:r>
      <w:r>
        <w:rPr>
          <w:rFonts w:hint="eastAsia" w:ascii="仿宋_GB2312" w:hAnsi="仿宋_GB2312" w:eastAsia="仿宋_GB2312" w:cs="仿宋_GB2312"/>
          <w:color w:val="auto"/>
          <w:kern w:val="0"/>
          <w:sz w:val="32"/>
          <w:szCs w:val="32"/>
          <w:highlight w:val="none"/>
          <w:lang w:eastAsia="zh-CN"/>
        </w:rPr>
        <w:t>禽流感</w:t>
      </w:r>
      <w:r>
        <w:rPr>
          <w:rFonts w:hint="eastAsia" w:ascii="仿宋_GB2312" w:hAnsi="仿宋_GB2312" w:eastAsia="仿宋_GB2312" w:cs="仿宋_GB2312"/>
          <w:color w:val="auto"/>
          <w:kern w:val="0"/>
          <w:sz w:val="32"/>
          <w:szCs w:val="32"/>
          <w:highlight w:val="none"/>
        </w:rPr>
        <w:t>研究基础与能力。</w:t>
      </w:r>
    </w:p>
    <w:p w14:paraId="7CBDC380">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4.项目资金额度</w:t>
      </w:r>
    </w:p>
    <w:p w14:paraId="0A131AEE">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万元。项目承担单位需自行测算项目需求金额，在申报书中提供资金测算过程及测算依据。最终金额以我单位测算核实为准。项目预算金额测算是否详细、合理将纳入评审标准。</w:t>
      </w:r>
    </w:p>
    <w:p w14:paraId="63EF4354">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（四）生猪屠宰规范化建设</w:t>
      </w:r>
    </w:p>
    <w:p w14:paraId="3A2EF3FC">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1.建设内容</w:t>
      </w:r>
    </w:p>
    <w:p w14:paraId="580201E6">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Cs w:val="32"/>
          <w:highlight w:val="none"/>
          <w:lang w:val="zh-CN"/>
        </w:rPr>
        <w:t>对生猪屠宰厂</w:t>
      </w:r>
      <w:r>
        <w:rPr>
          <w:rFonts w:hint="eastAsia" w:ascii="仿宋_GB2312" w:hAnsi="仿宋_GB2312" w:eastAsia="仿宋_GB2312" w:cs="仿宋_GB2312"/>
          <w:bCs/>
          <w:color w:val="auto"/>
          <w:kern w:val="0"/>
          <w:szCs w:val="32"/>
          <w:highlight w:val="none"/>
          <w:lang w:val="zh-CN" w:eastAsia="zh-CN"/>
        </w:rPr>
        <w:t>实施生猪屠宰质量管理规范（屠宰GMP)、标准化建设进行技术指导，协助组织省内专家对生猪屠宰厂</w:t>
      </w:r>
      <w:r>
        <w:rPr>
          <w:rFonts w:hint="eastAsia" w:ascii="仿宋_GB2312" w:hAnsi="仿宋_GB2312" w:eastAsia="仿宋_GB2312" w:cs="仿宋_GB2312"/>
          <w:bCs/>
          <w:color w:val="auto"/>
          <w:kern w:val="0"/>
          <w:szCs w:val="32"/>
          <w:highlight w:val="none"/>
          <w:lang w:val="en-US" w:eastAsia="zh-CN"/>
        </w:rPr>
        <w:t>的</w:t>
      </w:r>
      <w:r>
        <w:rPr>
          <w:rFonts w:hint="eastAsia" w:ascii="仿宋_GB2312" w:hAnsi="仿宋_GB2312" w:eastAsia="仿宋_GB2312" w:cs="仿宋_GB2312"/>
          <w:bCs/>
          <w:color w:val="auto"/>
          <w:kern w:val="0"/>
          <w:szCs w:val="32"/>
          <w:highlight w:val="none"/>
          <w:lang w:val="zh-CN" w:eastAsia="zh-CN"/>
        </w:rPr>
        <w:t>GMP实施情况进行现场评估。针对不同生猪屠宰质量管理条件，开展生猪应激与肉品品质相关性分析，研究应激代谢物质与肉品品质之间的关系，提出完善生猪</w:t>
      </w:r>
      <w:r>
        <w:rPr>
          <w:rFonts w:hint="eastAsia" w:ascii="仿宋_GB2312" w:hAnsi="仿宋_GB2312" w:eastAsia="仿宋_GB2312" w:cs="仿宋_GB2312"/>
          <w:kern w:val="0"/>
          <w:szCs w:val="32"/>
          <w:highlight w:val="none"/>
          <w:lang w:val="zh-CN"/>
        </w:rPr>
        <w:t>屠宰质量管理措施</w:t>
      </w:r>
      <w:r>
        <w:rPr>
          <w:rFonts w:hint="eastAsia" w:ascii="仿宋_GB2312" w:hAnsi="仿宋_GB2312" w:eastAsia="仿宋_GB2312" w:cs="仿宋_GB2312"/>
          <w:kern w:val="0"/>
          <w:szCs w:val="32"/>
          <w:highlight w:val="none"/>
          <w:lang w:val="en-US" w:eastAsia="zh-CN"/>
        </w:rPr>
        <w:t>。</w:t>
      </w:r>
    </w:p>
    <w:p w14:paraId="42B3B4F2">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2.绩效目标</w:t>
      </w:r>
    </w:p>
    <w:p w14:paraId="0702163E">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Cs/>
          <w:color w:val="auto"/>
          <w:kern w:val="0"/>
          <w:szCs w:val="32"/>
          <w:highlight w:val="none"/>
          <w:lang w:val="en-US" w:eastAsia="zh-CN"/>
        </w:rPr>
      </w:pPr>
      <w:r>
        <w:rPr>
          <w:rFonts w:hint="eastAsia" w:ascii="仿宋_GB2312" w:hAnsi="仿宋_GB2312" w:eastAsia="仿宋_GB2312" w:cs="仿宋_GB2312"/>
          <w:kern w:val="0"/>
          <w:szCs w:val="32"/>
          <w:highlight w:val="none"/>
          <w:lang w:val="en-US" w:eastAsia="zh-CN"/>
        </w:rPr>
        <w:t>按时、科学、公正</w:t>
      </w:r>
      <w:r>
        <w:rPr>
          <w:rFonts w:hint="eastAsia" w:ascii="仿宋_GB2312" w:hAnsi="仿宋_GB2312" w:eastAsia="仿宋_GB2312" w:cs="仿宋_GB2312"/>
          <w:bCs/>
          <w:color w:val="auto"/>
          <w:kern w:val="0"/>
          <w:szCs w:val="32"/>
          <w:highlight w:val="none"/>
          <w:lang w:val="en-US" w:eastAsia="zh-CN"/>
        </w:rPr>
        <w:t>完成</w:t>
      </w:r>
      <w:r>
        <w:rPr>
          <w:rFonts w:hint="eastAsia" w:ascii="仿宋_GB2312" w:hAnsi="仿宋_GB2312" w:eastAsia="仿宋_GB2312" w:cs="仿宋_GB2312"/>
          <w:bCs/>
          <w:color w:val="auto"/>
          <w:kern w:val="0"/>
          <w:szCs w:val="32"/>
          <w:highlight w:val="none"/>
          <w:lang w:val="zh-CN" w:eastAsia="zh-CN"/>
        </w:rPr>
        <w:t>不少于</w:t>
      </w:r>
      <w:r>
        <w:rPr>
          <w:rFonts w:hint="eastAsia" w:ascii="仿宋_GB2312" w:hAnsi="仿宋_GB2312" w:eastAsia="仿宋_GB2312" w:cs="仿宋_GB2312"/>
          <w:bCs/>
          <w:color w:val="auto"/>
          <w:kern w:val="0"/>
          <w:szCs w:val="32"/>
          <w:highlight w:val="none"/>
          <w:lang w:val="en-US" w:eastAsia="zh-CN"/>
        </w:rPr>
        <w:t>50家生猪屠宰厂屠宰GMP、屠宰标准化的现场评估工作，为生猪屠宰规范化、标准化建设提供技术支持。分析生猪屠宰应激与</w:t>
      </w:r>
      <w:r>
        <w:rPr>
          <w:rFonts w:hint="eastAsia" w:ascii="仿宋_GB2312" w:hAnsi="仿宋_GB2312" w:eastAsia="仿宋_GB2312" w:cs="仿宋_GB2312"/>
          <w:kern w:val="0"/>
          <w:szCs w:val="32"/>
          <w:highlight w:val="none"/>
          <w:lang w:val="en-US" w:eastAsia="zh-CN"/>
        </w:rPr>
        <w:t>肉品品质相关性，提出减少屠宰过程中畜禽应激的技术</w:t>
      </w:r>
      <w:r>
        <w:rPr>
          <w:rFonts w:hint="eastAsia" w:ascii="仿宋_GB2312" w:hAnsi="仿宋_GB2312" w:eastAsia="仿宋_GB2312" w:cs="仿宋_GB2312"/>
          <w:bCs/>
          <w:color w:val="auto"/>
          <w:kern w:val="0"/>
          <w:szCs w:val="32"/>
          <w:highlight w:val="none"/>
          <w:lang w:val="en-US" w:eastAsia="zh-CN"/>
        </w:rPr>
        <w:t>，形成1份研究报告，为提升肉品质量提供技术支持。</w:t>
      </w:r>
    </w:p>
    <w:p w14:paraId="1ADEA1CC">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3.对象及条件</w:t>
      </w:r>
    </w:p>
    <w:p w14:paraId="0917B94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000000"/>
          <w:kern w:val="0"/>
          <w:sz w:val="32"/>
          <w:szCs w:val="32"/>
          <w:highlight w:val="none"/>
          <w:lang w:val="en-US" w:eastAsia="zh-CN" w:bidi="ar-SA"/>
        </w:rPr>
        <w:t>广东</w:t>
      </w:r>
      <w:r>
        <w:rPr>
          <w:rFonts w:hint="default" w:ascii="仿宋_GB2312" w:hAnsi="仿宋_GB2312" w:eastAsia="仿宋_GB2312" w:cs="仿宋_GB2312"/>
          <w:bCs/>
          <w:color w:val="000000"/>
          <w:kern w:val="0"/>
          <w:sz w:val="32"/>
          <w:szCs w:val="32"/>
          <w:highlight w:val="none"/>
          <w:lang w:val="en-US" w:eastAsia="zh-CN" w:bidi="ar-SA"/>
        </w:rPr>
        <w:t>省内高</w:t>
      </w:r>
      <w:r>
        <w:rPr>
          <w:rFonts w:hint="eastAsia" w:ascii="仿宋_GB2312" w:hAnsi="仿宋_GB2312" w:eastAsia="仿宋_GB2312" w:cs="仿宋_GB2312"/>
          <w:bCs/>
          <w:color w:val="000000"/>
          <w:kern w:val="0"/>
          <w:sz w:val="32"/>
          <w:szCs w:val="32"/>
          <w:highlight w:val="none"/>
          <w:lang w:val="en-US" w:eastAsia="zh-CN" w:bidi="ar-SA"/>
        </w:rPr>
        <w:t>等院</w:t>
      </w:r>
      <w:r>
        <w:rPr>
          <w:rFonts w:hint="default" w:ascii="仿宋_GB2312" w:hAnsi="仿宋_GB2312" w:eastAsia="仿宋_GB2312" w:cs="仿宋_GB2312"/>
          <w:bCs/>
          <w:color w:val="000000"/>
          <w:kern w:val="0"/>
          <w:sz w:val="32"/>
          <w:szCs w:val="32"/>
          <w:highlight w:val="none"/>
          <w:lang w:val="en-US" w:eastAsia="zh-CN" w:bidi="ar-SA"/>
        </w:rPr>
        <w:t>校</w:t>
      </w:r>
      <w:r>
        <w:rPr>
          <w:rFonts w:hint="eastAsia" w:ascii="仿宋_GB2312" w:hAnsi="仿宋_GB2312" w:eastAsia="仿宋_GB2312" w:cs="仿宋_GB2312"/>
          <w:bCs/>
          <w:color w:val="000000"/>
          <w:kern w:val="0"/>
          <w:sz w:val="32"/>
          <w:szCs w:val="32"/>
          <w:highlight w:val="none"/>
          <w:lang w:val="en-US" w:eastAsia="zh-CN" w:bidi="ar-SA"/>
        </w:rPr>
        <w:t>、</w:t>
      </w:r>
      <w:r>
        <w:rPr>
          <w:rFonts w:hint="default" w:ascii="仿宋_GB2312" w:hAnsi="仿宋_GB2312" w:eastAsia="仿宋_GB2312" w:cs="仿宋_GB2312"/>
          <w:bCs/>
          <w:color w:val="000000"/>
          <w:kern w:val="0"/>
          <w:sz w:val="32"/>
          <w:szCs w:val="32"/>
          <w:highlight w:val="none"/>
          <w:lang w:val="en-US" w:eastAsia="zh-CN" w:bidi="ar-SA"/>
        </w:rPr>
        <w:t>科研院所</w:t>
      </w:r>
      <w:r>
        <w:rPr>
          <w:rFonts w:hint="eastAsia" w:ascii="仿宋_GB2312" w:hAnsi="仿宋_GB2312" w:eastAsia="仿宋_GB2312" w:cs="仿宋_GB2312"/>
          <w:color w:val="auto"/>
          <w:kern w:val="0"/>
          <w:sz w:val="32"/>
          <w:szCs w:val="32"/>
          <w:highlight w:val="none"/>
          <w:lang w:val="en-US" w:eastAsia="zh-CN"/>
        </w:rPr>
        <w:t>、企事业单位</w:t>
      </w:r>
      <w:r>
        <w:rPr>
          <w:rFonts w:hint="default" w:ascii="仿宋_GB2312" w:hAnsi="仿宋_GB2312" w:eastAsia="仿宋_GB2312" w:cs="仿宋_GB2312"/>
          <w:bCs/>
          <w:color w:val="000000"/>
          <w:kern w:val="0"/>
          <w:sz w:val="32"/>
          <w:szCs w:val="32"/>
          <w:highlight w:val="none"/>
          <w:lang w:val="en-US" w:eastAsia="zh-CN" w:bidi="ar-SA"/>
        </w:rPr>
        <w:t>，熟悉国家畜禽屠宰管理技术规范与检验规程</w:t>
      </w:r>
      <w:r>
        <w:rPr>
          <w:rFonts w:hint="eastAsia" w:ascii="仿宋_GB2312" w:hAnsi="仿宋_GB2312" w:eastAsia="仿宋_GB2312" w:cs="仿宋_GB2312"/>
          <w:bCs/>
          <w:color w:val="000000"/>
          <w:kern w:val="0"/>
          <w:sz w:val="32"/>
          <w:szCs w:val="32"/>
          <w:highlight w:val="none"/>
          <w:lang w:val="en-US" w:eastAsia="zh-CN" w:bidi="ar-SA"/>
        </w:rPr>
        <w:t>，</w:t>
      </w:r>
      <w:r>
        <w:rPr>
          <w:rFonts w:hint="default" w:ascii="仿宋_GB2312" w:hAnsi="仿宋_GB2312" w:eastAsia="仿宋_GB2312" w:cs="仿宋_GB2312"/>
          <w:bCs/>
          <w:color w:val="000000"/>
          <w:kern w:val="0"/>
          <w:sz w:val="32"/>
          <w:szCs w:val="32"/>
          <w:highlight w:val="none"/>
          <w:lang w:val="en-US" w:eastAsia="zh-CN" w:bidi="ar-SA"/>
        </w:rPr>
        <w:t>具有良好的</w:t>
      </w:r>
      <w:r>
        <w:rPr>
          <w:rFonts w:hint="eastAsia" w:ascii="仿宋_GB2312" w:hAnsi="仿宋_GB2312" w:eastAsia="仿宋_GB2312" w:cs="仿宋_GB2312"/>
          <w:bCs/>
          <w:color w:val="000000"/>
          <w:kern w:val="0"/>
          <w:sz w:val="32"/>
          <w:szCs w:val="32"/>
          <w:highlight w:val="none"/>
          <w:lang w:val="en-US" w:eastAsia="zh-CN" w:bidi="ar-SA"/>
        </w:rPr>
        <w:t>畜禽</w:t>
      </w:r>
      <w:r>
        <w:rPr>
          <w:rFonts w:hint="default" w:ascii="仿宋_GB2312" w:hAnsi="仿宋_GB2312" w:eastAsia="仿宋_GB2312" w:cs="仿宋_GB2312"/>
          <w:bCs/>
          <w:color w:val="000000"/>
          <w:kern w:val="0"/>
          <w:sz w:val="32"/>
          <w:szCs w:val="32"/>
          <w:highlight w:val="none"/>
          <w:lang w:val="en-US" w:eastAsia="zh-CN" w:bidi="ar-SA"/>
        </w:rPr>
        <w:t>屠宰研究</w:t>
      </w:r>
      <w:r>
        <w:rPr>
          <w:rFonts w:hint="eastAsia" w:ascii="仿宋_GB2312" w:hAnsi="仿宋_GB2312" w:eastAsia="仿宋_GB2312" w:cs="仿宋_GB2312"/>
          <w:bCs/>
          <w:color w:val="000000"/>
          <w:kern w:val="0"/>
          <w:sz w:val="32"/>
          <w:szCs w:val="32"/>
          <w:highlight w:val="none"/>
          <w:lang w:val="en-US" w:eastAsia="zh-CN" w:bidi="ar-SA"/>
        </w:rPr>
        <w:t>的</w:t>
      </w:r>
      <w:r>
        <w:rPr>
          <w:rFonts w:hint="default" w:ascii="仿宋_GB2312" w:hAnsi="仿宋_GB2312" w:eastAsia="仿宋_GB2312" w:cs="仿宋_GB2312"/>
          <w:bCs/>
          <w:color w:val="000000"/>
          <w:kern w:val="0"/>
          <w:sz w:val="32"/>
          <w:szCs w:val="32"/>
          <w:highlight w:val="none"/>
          <w:lang w:val="en-US" w:eastAsia="zh-CN" w:bidi="ar-SA"/>
        </w:rPr>
        <w:t>基础与能力</w:t>
      </w:r>
      <w:r>
        <w:rPr>
          <w:rFonts w:hint="eastAsia" w:ascii="仿宋_GB2312" w:hAnsi="仿宋_GB2312" w:eastAsia="仿宋_GB2312" w:cs="仿宋_GB2312"/>
          <w:bCs/>
          <w:color w:val="000000"/>
          <w:kern w:val="0"/>
          <w:sz w:val="32"/>
          <w:szCs w:val="32"/>
          <w:highlight w:val="none"/>
          <w:lang w:val="en-US" w:eastAsia="zh-CN" w:bidi="ar-SA"/>
        </w:rPr>
        <w:t>。</w:t>
      </w:r>
    </w:p>
    <w:p w14:paraId="62F00EB4">
      <w:pPr>
        <w:pStyle w:val="10"/>
        <w:numPr>
          <w:ilvl w:val="0"/>
          <w:numId w:val="0"/>
        </w:numPr>
        <w:adjustRightInd w:val="0"/>
        <w:snapToGrid w:val="0"/>
        <w:spacing w:beforeLines="0" w:afterLines="0" w:line="590" w:lineRule="exact"/>
        <w:ind w:left="0" w:firstLine="632" w:firstLineChars="200"/>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4.项目资金额度</w:t>
      </w:r>
    </w:p>
    <w:p w14:paraId="2F296821">
      <w:pPr>
        <w:adjustRightInd w:val="0"/>
        <w:snapToGrid w:val="0"/>
        <w:spacing w:beforeLines="0" w:afterLines="0" w:line="590" w:lineRule="exact"/>
        <w:ind w:firstLine="632" w:firstLineChars="200"/>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项目资金额度不超过50万元。项目承担单位需自行测算项目需求金额，在申报书中提供资金测算过程及测算依据。最终金额以我单位测算核实为准。项目预算金额测算是否详细、合理将纳入评审标准。</w:t>
      </w:r>
    </w:p>
    <w:p w14:paraId="6C43512A">
      <w:pPr>
        <w:adjustRightInd w:val="0"/>
        <w:snapToGrid w:val="0"/>
        <w:spacing w:beforeLines="0" w:afterLines="0" w:line="590" w:lineRule="exact"/>
        <w:ind w:firstLine="632" w:firstLineChars="200"/>
        <w:rPr>
          <w:rFonts w:hint="eastAsia" w:ascii="黑体" w:hAnsi="黑体" w:eastAsia="黑体" w:cs="黑体"/>
          <w:szCs w:val="32"/>
          <w:highlight w:val="none"/>
          <w:lang w:val="en-US" w:eastAsia="zh-CN"/>
        </w:rPr>
      </w:pPr>
      <w:r>
        <w:rPr>
          <w:rFonts w:hint="eastAsia" w:ascii="黑体" w:hAnsi="黑体" w:eastAsia="黑体" w:cs="黑体"/>
          <w:color w:val="auto"/>
          <w:sz w:val="32"/>
          <w:szCs w:val="32"/>
          <w:highlight w:val="none"/>
          <w:lang w:val="en-US" w:eastAsia="zh-CN"/>
        </w:rPr>
        <w:t>三、申报材料要求</w:t>
      </w:r>
    </w:p>
    <w:p w14:paraId="47F06C74">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（一）</w:t>
      </w:r>
      <w:r>
        <w:rPr>
          <w:rFonts w:hint="eastAsia" w:ascii="仿宋_GB2312" w:hAnsi="仿宋_GB2312" w:eastAsia="仿宋_GB2312" w:cs="仿宋_GB2312"/>
          <w:color w:val="auto"/>
          <w:kern w:val="0"/>
          <w:szCs w:val="32"/>
          <w:highlight w:val="none"/>
          <w:lang w:eastAsia="zh-CN"/>
        </w:rPr>
        <w:t>项目申报请使用第9类《农业科研类及技术推广示范类项目申报书模板》。</w:t>
      </w:r>
    </w:p>
    <w:p w14:paraId="0A12848A">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（二）</w:t>
      </w:r>
      <w:r>
        <w:rPr>
          <w:rFonts w:hint="eastAsia" w:ascii="仿宋_GB2312" w:hAnsi="仿宋_GB2312" w:eastAsia="仿宋_GB2312" w:cs="仿宋_GB2312"/>
          <w:color w:val="auto"/>
          <w:kern w:val="0"/>
          <w:szCs w:val="32"/>
          <w:highlight w:val="none"/>
          <w:lang w:eastAsia="zh-CN"/>
        </w:rPr>
        <w:t>202</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eastAsia="zh-CN"/>
        </w:rPr>
        <w:t>年乡村振兴战略专项资金省级项目入库申报汇总表。</w:t>
      </w:r>
    </w:p>
    <w:p w14:paraId="0668A267">
      <w:r>
        <w:rPr>
          <w:rFonts w:hint="eastAsia" w:ascii="仿宋_GB2312" w:hAnsi="仿宋_GB2312" w:eastAsia="仿宋_GB2312" w:cs="仿宋_GB2312"/>
          <w:color w:val="auto"/>
          <w:kern w:val="0"/>
          <w:szCs w:val="32"/>
          <w:highlight w:val="none"/>
          <w:lang w:val="en-US" w:eastAsia="zh-CN"/>
        </w:rPr>
        <w:t>（三）项目申报书中应详细介绍项目申报团队现有的能够为项目高质量开展提供的人员基础、技术支撑基础、理论基础和硬件设施基础等，应明确项目详细建设计划，确保项目顺利开展。</w:t>
      </w:r>
      <w:bookmarkStart w:id="0" w:name="_GoBack"/>
      <w:bookmarkEnd w:id="0"/>
    </w:p>
    <w:sectPr>
      <w:footerReference r:id="rId3" w:type="default"/>
      <w:pgSz w:w="11906" w:h="16838"/>
      <w:pgMar w:top="1871" w:right="1531" w:bottom="1871" w:left="153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3A7048-7801-4007-A6E5-0F038FB844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B1BBDCF-A71D-4956-8164-C91838D90FA8}"/>
  </w:font>
  <w:font w:name="仿宋_GB2312">
    <w:altName w:val="仿宋"/>
    <w:panose1 w:val="02010609030101010101"/>
    <w:charset w:val="86"/>
    <w:family w:val="modern"/>
    <w:pitch w:val="default"/>
    <w:sig w:usb0="00000000" w:usb1="00000000" w:usb2="00000000" w:usb3="00000000" w:csb0="00040000" w:csb1="00000000"/>
    <w:embedRegular r:id="rId3" w:fontKey="{8C97C0E0-C08E-4CAF-B197-19F9800B9187}"/>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8FA47E22-B54C-41D2-A02D-5DAD53C8A57B}"/>
  </w:font>
  <w:font w:name="楷体_GB2312">
    <w:altName w:val="楷体"/>
    <w:panose1 w:val="02010609030101010101"/>
    <w:charset w:val="86"/>
    <w:family w:val="auto"/>
    <w:pitch w:val="default"/>
    <w:sig w:usb0="00000000" w:usb1="00000000" w:usb2="00000000" w:usb3="00000000" w:csb0="00040000" w:csb1="00000000"/>
    <w:embedRegular r:id="rId5" w:fontKey="{35DEC4C7-7395-43F1-B52A-D4F94422DBB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11F0">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ZGYyMzQ1ZmRiMDk2ZmIwOWNkMmU3NjRjOWJlMmUifQ=="/>
  </w:docVars>
  <w:rsids>
    <w:rsidRoot w:val="00000000"/>
    <w:rsid w:val="10D839CB"/>
    <w:rsid w:val="122D532C"/>
    <w:rsid w:val="55C0032A"/>
    <w:rsid w:val="5B24041A"/>
    <w:rsid w:val="6EF1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3"/>
    <w:basedOn w:val="1"/>
    <w:next w:val="1"/>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rPr>
      <w:rFonts w:ascii="Times New Roman" w:hAnsi="Times New Roman" w:eastAsia="宋体" w:cs="Times New Roman"/>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0"/>
    <w:pPr>
      <w:ind w:firstLine="420" w:firstLineChars="200"/>
    </w:pPr>
    <w:rPr>
      <w:rFonts w:ascii="Times New Roman" w:hAnsi="Times New Roman" w:eastAsia="仿宋_GB2312"/>
      <w:sz w:val="32"/>
    </w:rPr>
  </w:style>
  <w:style w:type="paragraph" w:customStyle="1" w:styleId="10">
    <w:name w:val="报告正文"/>
    <w:basedOn w:val="1"/>
    <w:qFormat/>
    <w:uiPriority w:val="0"/>
    <w:pPr>
      <w:ind w:firstLine="640" w:firstLineChars="200"/>
    </w:pPr>
    <w:rPr>
      <w:rFonts w:ascii="Times New Roman" w:hAnsi="Times New Roman" w:eastAsia="仿宋" w:cs="Times New Roman"/>
      <w:sz w:val="32"/>
      <w:szCs w:val="28"/>
    </w:rPr>
  </w:style>
  <w:style w:type="paragraph" w:customStyle="1" w:styleId="1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13608</Words>
  <Characters>13983</Characters>
  <Lines>0</Lines>
  <Paragraphs>0</Paragraphs>
  <TotalTime>0</TotalTime>
  <ScaleCrop>false</ScaleCrop>
  <LinksUpToDate>false</LinksUpToDate>
  <CharactersWithSpaces>13986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2024-08-26T00:45:00Z</dcterms:created>
  <dc:creator>admin</dc:creator>
  <cp:lastModifiedBy>李花花</cp:lastModifiedBy>
  <dcterms:modified xsi:type="dcterms:W3CDTF">2024-08-26T03:49:28Z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90C228A87F93402C945964643F89BFCF_12</vt:lpwstr>
  </property>
</Properties>
</file>