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2835"/>
        </w:tabs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金融支农智库专家入库信息汇总表</w:t>
      </w:r>
    </w:p>
    <w:p>
      <w:pPr>
        <w:numPr>
          <w:ilvl w:val="0"/>
          <w:numId w:val="0"/>
        </w:numPr>
        <w:tabs>
          <w:tab w:val="left" w:pos="2835"/>
        </w:tabs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单位（盖章）：</w:t>
      </w:r>
    </w:p>
    <w:tbl>
      <w:tblPr>
        <w:tblStyle w:val="8"/>
        <w:tblW w:w="13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57"/>
        <w:gridCol w:w="2249"/>
        <w:gridCol w:w="2408"/>
        <w:gridCol w:w="1098"/>
        <w:gridCol w:w="1151"/>
        <w:gridCol w:w="1151"/>
        <w:gridCol w:w="1773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专家姓名</w:t>
            </w: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填表人：    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宋体" w:cs="Times New Roman"/>
          <w:sz w:val="21"/>
          <w:szCs w:val="24"/>
          <w:lang w:eastAsia="zh-CN"/>
        </w:rPr>
        <w:sectPr>
          <w:footerReference r:id="rId4" w:type="first"/>
          <w:footerReference r:id="rId3" w:type="default"/>
          <w:pgSz w:w="16838" w:h="11906" w:orient="landscape"/>
          <w:pgMar w:top="1531" w:right="1701" w:bottom="1531" w:left="1701" w:header="851" w:footer="992" w:gutter="0"/>
          <w:pgNumType w:fmt="numberInDash" w:chapStyle="1" w:chapSep="emDash"/>
          <w:cols w:space="720" w:num="1"/>
          <w:titlePg/>
          <w:rtlGutter w:val="0"/>
          <w:docGrid w:type="linesAndChars" w:linePitch="442" w:charSpace="205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372745</wp:posOffset>
                </wp:positionV>
                <wp:extent cx="419100" cy="762000"/>
                <wp:effectExtent l="0" t="0" r="762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9765" y="2578735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3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85pt;margin-top:29.35pt;height:60pt;width:33pt;z-index:251659264;mso-width-relative:page;mso-height-relative:page;" fillcolor="#FFFFFF" filled="t" stroked="f" coordsize="21600,21600" o:gfxdata="UEsDBAoAAAAAAIdO4kAAAAAAAAAAAAAAAAAEAAAAZHJzL1BLAwQUAAAACACHTuJAvVCI6NgAAAAL&#10;AQAADwAAAGRycy9kb3ducmV2LnhtbE2Py07DMBBF90j8gzVI7FLHiNI2xKlQJBZdFAmXDTsndh7C&#10;Hkex+/p7pitYzevo3jvl9uIdO9k5jgEliEUOzGIbzIi9hK/De7YGFpNGo11AK+FqI2yr+7tSFyac&#10;8dOeVOoZiWAstIQhpangPLaD9TouwmSRbl2YvU40zj03sz6TuHf8Kc9fuNcjksOgJ1sPtv1RRy9h&#10;o1DvVd1c3zYfrut232rn8lrKxweRvwJL9pL+YLjFp+hQUaYmHNFE5iRkQogVsRKWa6pEZM9LahpC&#10;V7ThVcn//1D9AlBLAwQUAAAACACHTuJAOodNPUoCAABbBAAADgAAAGRycy9lMm9Eb2MueG1srVTN&#10;jtowEL5X6jtYvpckQGBBhBVlRVUJdVeiP2fjOCSS43FtQ0IfoH2Dnnrpvc/Fc3TswC79OVXNwZnx&#10;fJmfb2Yyu21rSQ7C2ApURpNeTIlQHPJK7TL67u3qxQ0l1jGVMwlKZPQoLL2dP382a/RU9KEEmQtD&#10;0Imy00ZntHROT6PI8lLUzPZAC4XGAkzNHKpmF+WGNei9llE/jkdRAybXBriwFm/vOiOdB/9FIbi7&#10;LworHJEZxdxcOE04t/6M5jM23Rmmy4qf02D/kEXNKoVBH13dMcfI3lR/uKorbsBC4Xoc6giKouIi&#10;1IDVJPFv1WxKpkWoBcmx+pEm+//c8jeHB0OqPKMDShSrsUWnr19O336cvn8mA09Po+0UURuNONe+&#10;hBbbfLm3eOmrbgtT+zfWQ9A+SifjUUrJMaP9dHwzHqQdz6J1hKN9mEySGLvBETAeYRtDH6InP9pY&#10;90pATbyQUYNtDOyyw9o6zAmhF4gPa0FW+aqSMihmt11KQw4MW74Kj4+On/wCk4o0mOkgjYNnBf77&#10;DieV9yPC9JzjeRK6Yr3k2m17ZmYL+RGJMdBNltV8VWHOa2bdAzM4Slgmroe7x6OQgCHhLFFSgvn0&#10;t3uPz6hg7/FNSYPDmVH7cc+MoES+Vtj9STIc+mkOyjAd91Ex15bttUXt6yUgGQmuouZB9HgnL2Jh&#10;oP6Ae7TwcdHEFMfcMorRO3HpupXBPeRisQggnF/N3FptNPeuPWUKFnsHRRVa5Inq2EHyvYITHNpw&#10;3ja/Itd6QD39E+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1QiOjYAAAACwEAAA8AAAAAAAAA&#10;AQAgAAAAIgAAAGRycy9kb3ducmV2LnhtbFBLAQIUABQAAAAIAIdO4kA6h009SgIAAFsEAAAOAAAA&#10;AAAAAAEAIAAAACcBAABkcnMvZTJvRG9jLnhtbFBLBQYAAAAABgAGAFkBAADjBQAAAAA=&#10;">
                <v:path/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3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金融支农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智库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专家入库信息登记表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7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769"/>
        <w:gridCol w:w="1550"/>
        <w:gridCol w:w="2411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7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  务</w:t>
            </w:r>
          </w:p>
        </w:tc>
        <w:tc>
          <w:tcPr>
            <w:tcW w:w="17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7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话话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话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7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QQ/微信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9" w:type="dxa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74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749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研究领域</w:t>
            </w:r>
          </w:p>
        </w:tc>
        <w:tc>
          <w:tcPr>
            <w:tcW w:w="774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0" w:type="dxa"/>
            <w:gridSpan w:val="5"/>
            <w:vAlign w:val="top"/>
          </w:tcPr>
          <w:p>
            <w:pPr>
              <w:spacing w:before="120" w:line="480" w:lineRule="exact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个人履历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含：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学术专长、研究方向及主要成果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（300-500字）：</w:t>
            </w:r>
          </w:p>
          <w:p>
            <w:pPr>
              <w:spacing w:line="460" w:lineRule="exact"/>
              <w:ind w:firstLine="560" w:firstLineChars="200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0" w:type="dxa"/>
            <w:gridSpan w:val="5"/>
            <w:vAlign w:val="top"/>
          </w:tcPr>
          <w:p>
            <w:pPr>
              <w:spacing w:before="120" w:line="48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金融支农或研究课题建议（100-300字）：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0" w:type="dxa"/>
            <w:gridSpan w:val="5"/>
            <w:vAlign w:val="top"/>
          </w:tcPr>
          <w:p>
            <w:pPr>
              <w:spacing w:before="120"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推荐单位意见：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（盖章）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                                2021年   月   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60" w:type="dxa"/>
            <w:gridSpan w:val="5"/>
            <w:vAlign w:val="top"/>
          </w:tcPr>
          <w:p>
            <w:pPr>
              <w:spacing w:before="120" w:line="48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同时推荐广东省农业专家库：□同意  □不同意    本人签名：</w:t>
            </w:r>
          </w:p>
        </w:tc>
      </w:tr>
    </w:tbl>
    <w:p>
      <w:pPr>
        <w:tabs>
          <w:tab w:val="left" w:pos="2151"/>
        </w:tabs>
        <w:jc w:val="left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省农业农村厅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金融支农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智库管理办法（暂行）</w:t>
      </w:r>
    </w:p>
    <w:p>
      <w:pPr>
        <w:pStyle w:val="4"/>
        <w:adjustRightInd w:val="0"/>
        <w:snapToGrid w:val="0"/>
        <w:spacing w:beforeLines="0" w:afterLines="0"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加强金融支农的理论实践总结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和研究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，深化对金融支农工作的理论认识和规律把握，强化对金融支农工作的实践指导和服务支持，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成立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广东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省农业农村厅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金融支农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智库。为规范智库管理制定本办法。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围绕省委省政府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三农工作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的总体部署，紧扣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的新形势、新任务、新要求，紧抓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的新情况、新特点、新问题，精心组织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专家，扎实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理论研究、政策研究、实践总结、发展趋势预测等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方面的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重大决策咨询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项目规划评估、重大课题调研、重要学术交流、专题论坛培训等事务性工作，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决策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工作指导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和联盟工作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提供理论指导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智力支持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专业服务，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广东金融支农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的针对性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可及性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和实效性。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智库管理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智库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省农业农村厅指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的常设咨询服务机构。金融支农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智库专家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农业农村厅聘任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，每届任期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智库专家条件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（一）熟悉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农业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管理、金融、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保险、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信贷等领域的专家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、学者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，具有项目管理、金融、信贷、投资、法律等方面工作经验。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具有良好的职业道德，无不良从业记录，科学严谨、廉洁自律、作风正派、坚持原则、保守秘密，能够认真、客观公正地履行职责，愿意参加广东金融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支农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相关业务评议、论证以及战略咨询服务等工作。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）年龄在60岁以下，身体健康，能胜任专家咨询工作。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）在本专业（行业）具有副高级以上职称或具有同等水平的国家执业资格证书。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）工作经验丰富，具有较高的业务水平和工作能力；熟悉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农业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、金融、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保险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</w:rPr>
        <w:t>、信贷、企业管理等领域的专业理论知识、相关政策和规章制度。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专家产生及退出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智库专家主要面向广东金融支农联盟成员单位、银行、保险、投资及高等院校等部门，通过单位推荐和个人自荐，择优选取。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专家有以下情形的，经批准予以解聘：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因个人原因不能履职的；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无正当理由，长期不参与智库活动的；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3、违反规定，私自以智库名义从事谋利活动的；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4、因违纪违法行为，受到行政、司法处理的。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专家委员会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</w:rPr>
        <w:t>融支农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  <w:lang w:eastAsia="zh-CN"/>
        </w:rPr>
        <w:t>智库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</w:rPr>
        <w:t>会设主任委员一人，副主任委员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  <w:lang w:val="en-US" w:eastAsia="zh-CN"/>
        </w:rPr>
        <w:t>2-3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专家委员会下设秘书处，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设在省农业农村厅计划财务处，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负责专家委员会的日常事务，由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广东金融支农联盟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归口管理。秘书处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秘书长、副秘书长各1人，由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广东金融支农联盟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选派有关人员担任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专家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委员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会主任委员、副主任委员工作职责：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1．负责审定专家委员会的工作计划，落实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农业农村厅或广东金融支农联盟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重大决策的咨询任务；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2．负责组织向专家委员会委员通报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工作情况；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3．研究决定专家委员会的重大事项；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4．主持召开委员会年会、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专题论证会议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或以委员会名义举办的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论坛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讲堂、培训班、成果展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5．参加专家委员会有关工作小组的活动。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专家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委员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会秘书处的工作职责是：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1．拟定专家委员会的工作计划，经批准后组织实施；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2．根据工作计划组织召开年会、专题咨询会、高层论坛、主任办公会议和秘书长办公会议等；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3．联系委员、组织协调调研工作，编辑印发委员会月刊《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广东金融支农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动态》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暂定名）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，及时反映工作情况和专家建议；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4．承担专家委员会交办的其它工作。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专家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委员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会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工作方式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会从实际出发，以多种形式开展工作，主要包括：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1．承担省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农业农村厅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广东金融支农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联盟及联盟成员单位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交办、指定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的课题研究和调研工作。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2．召开年会。专家委员会（全体会议）每年召开1次。主要任务是向全体委员通报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工作情况、总结专家委员会工作，通报下一年的工作安排，就下一年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工作和专家委员会工作听取各位委员的意见和建议。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3．召开专题咨询会。会议不定期召开，主要任务是就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农业农村厅、广东金融支农联盟及联盟成员单位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有关重大决策，组织相关委员会召开专题咨询会，听取委员的意见和建议。对决策中需要深入研究论证的问题，必要时可组织相关委员开展实地调研。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4．举办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高层论坛。根据需要依托有关单位举办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论坛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，利用交流平台，不断丰富和完善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金融支农策略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和政策体系。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5．专家委员会采取咨询座谈、书面建议、方案论证《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广东金融支农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动态》等形式向领导小组提供咨询意见和建议。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6．专家委员会向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省农业农村厅、广东金融支农联盟及联盟重点单位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提出意见和建议，由专家委员会秘书处报送。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金融支农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智库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秘书处（地址：广州市先烈东路135号12楼，邮箱：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/>
        </w:rPr>
        <w:t>gd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znlm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2"/>
          <w:szCs w:val="32"/>
          <w:u w:val="none"/>
        </w:rPr>
        <w:t>@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u w:val="none"/>
        </w:rPr>
        <w:t>163.com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（联系人：陈锴 020-37236548/13433858319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01412"/>
    <w:multiLevelType w:val="singleLevel"/>
    <w:tmpl w:val="38B014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D89C28"/>
    <w:multiLevelType w:val="singleLevel"/>
    <w:tmpl w:val="5ED89C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E1E5E"/>
    <w:rsid w:val="763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Times New Roman"/>
      <w:sz w:val="21"/>
      <w:szCs w:val="24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2021-09-14T02:03:00Z</dcterms:created>
  <dc:creator>84965</dc:creator>
  <cp:lastModifiedBy>84965</cp:lastModifiedBy>
  <dcterms:modified xsi:type="dcterms:W3CDTF">2021-09-14T02:04:43Z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