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5793">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ascii="Arial"/>
          <w:sz w:val="21"/>
        </w:rPr>
      </w:pPr>
      <w:bookmarkStart w:id="0" w:name="_GoBack"/>
      <w:bookmarkEnd w:id="0"/>
    </w:p>
    <w:p w14:paraId="1EA620E3">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jc w:val="center"/>
        <w:textAlignment w:val="baseline"/>
        <w:rPr>
          <w:rFonts w:hint="eastAsia" w:ascii="方正小标宋简体" w:hAnsi="方正小标宋简体" w:eastAsia="方正小标宋简体" w:cs="方正小标宋简体"/>
          <w:b w:val="0"/>
          <w:bCs w:val="0"/>
          <w:spacing w:val="-3"/>
          <w:sz w:val="36"/>
          <w:szCs w:val="36"/>
        </w:rPr>
      </w:pPr>
      <w:r>
        <w:rPr>
          <w:rFonts w:hint="eastAsia" w:ascii="方正小标宋简体" w:hAnsi="方正小标宋简体" w:eastAsia="方正小标宋简体" w:cs="方正小标宋简体"/>
          <w:b w:val="0"/>
          <w:bCs w:val="0"/>
          <w:spacing w:val="-2"/>
          <w:sz w:val="36"/>
          <w:szCs w:val="36"/>
        </w:rPr>
        <w:t>关于开展农业科技专精特新优势团队征集的</w:t>
      </w:r>
      <w:r>
        <w:rPr>
          <w:rFonts w:hint="eastAsia" w:ascii="方正小标宋简体" w:hAnsi="方正小标宋简体" w:eastAsia="方正小标宋简体" w:cs="方正小标宋简体"/>
          <w:b w:val="0"/>
          <w:bCs w:val="0"/>
          <w:spacing w:val="-3"/>
          <w:sz w:val="36"/>
          <w:szCs w:val="36"/>
        </w:rPr>
        <w:t>通知</w:t>
      </w:r>
    </w:p>
    <w:p w14:paraId="6F690D2B">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b/>
          <w:bCs/>
          <w:spacing w:val="-3"/>
          <w:sz w:val="35"/>
          <w:szCs w:val="35"/>
        </w:rPr>
      </w:pPr>
    </w:p>
    <w:p w14:paraId="44999092">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各省、自治区、直辖市农业农村(农牧)厅(局、委),新疆生</w:t>
      </w:r>
      <w:r>
        <w:rPr>
          <w:rFonts w:hint="eastAsia" w:ascii="仿宋_GB2312" w:hAnsi="仿宋_GB2312" w:eastAsia="仿宋_GB2312" w:cs="仿宋_GB2312"/>
          <w:spacing w:val="-30"/>
          <w:sz w:val="32"/>
          <w:szCs w:val="32"/>
        </w:rPr>
        <w:t>产建设兵团农业农村局，各有关单位：</w:t>
      </w:r>
    </w:p>
    <w:p w14:paraId="7032D101">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7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为准确把握全国农业科技优势团队分布情况，优化农业科</w:t>
      </w:r>
      <w:r>
        <w:rPr>
          <w:rFonts w:hint="eastAsia" w:ascii="仿宋_GB2312" w:hAnsi="仿宋_GB2312" w:eastAsia="仿宋_GB2312" w:cs="仿宋_GB2312"/>
          <w:spacing w:val="-29"/>
          <w:sz w:val="32"/>
          <w:szCs w:val="32"/>
        </w:rPr>
        <w:t>技资源配置，探索完善产业科技组织模式，</w:t>
      </w:r>
      <w:r>
        <w:rPr>
          <w:rFonts w:hint="eastAsia" w:ascii="仿宋_GB2312" w:hAnsi="仿宋_GB2312" w:eastAsia="仿宋_GB2312" w:cs="仿宋_GB2312"/>
          <w:spacing w:val="-30"/>
          <w:sz w:val="32"/>
          <w:szCs w:val="32"/>
        </w:rPr>
        <w:t>建立更加符合农业</w:t>
      </w:r>
      <w:r>
        <w:rPr>
          <w:rFonts w:hint="eastAsia" w:ascii="仿宋_GB2312" w:hAnsi="仿宋_GB2312" w:eastAsia="仿宋_GB2312" w:cs="仿宋_GB2312"/>
          <w:spacing w:val="-28"/>
          <w:sz w:val="32"/>
          <w:szCs w:val="32"/>
        </w:rPr>
        <w:t>科技创新规律的竞争性支持和稳定支持相结合的投入机制，现</w:t>
      </w:r>
      <w:r>
        <w:rPr>
          <w:rFonts w:hint="eastAsia" w:ascii="仿宋_GB2312" w:hAnsi="仿宋_GB2312" w:eastAsia="仿宋_GB2312" w:cs="仿宋_GB2312"/>
          <w:spacing w:val="-30"/>
          <w:sz w:val="32"/>
          <w:szCs w:val="32"/>
        </w:rPr>
        <w:t>请各地组织梳理部分产业或领域农业科技专精特新优势团队情况。有关事项通知如下。</w:t>
      </w:r>
    </w:p>
    <w:p w14:paraId="2B7ED626">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7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一、请各地结合产地产业实际，聚焦大宗蔬</w:t>
      </w:r>
      <w:r>
        <w:rPr>
          <w:rFonts w:hint="eastAsia" w:ascii="仿宋_GB2312" w:hAnsi="仿宋_GB2312" w:eastAsia="仿宋_GB2312" w:cs="仿宋_GB2312"/>
          <w:spacing w:val="-23"/>
          <w:sz w:val="32"/>
          <w:szCs w:val="32"/>
        </w:rPr>
        <w:t>菜(甘蓝、黄</w:t>
      </w:r>
      <w:r>
        <w:rPr>
          <w:rFonts w:hint="eastAsia" w:ascii="仿宋_GB2312" w:hAnsi="仿宋_GB2312" w:eastAsia="仿宋_GB2312" w:cs="仿宋_GB2312"/>
          <w:spacing w:val="-29"/>
          <w:sz w:val="32"/>
          <w:szCs w:val="32"/>
        </w:rPr>
        <w:t>瓜、茄子、辣椒、番茄、大白菜、小白菜、花椰菜、萝卜、胡萝卜、青花菜、菠菜、菜豆、豇豆、苦瓜、丝瓜、南瓜、西葫</w:t>
      </w:r>
      <w:r>
        <w:rPr>
          <w:rFonts w:hint="eastAsia" w:ascii="仿宋_GB2312" w:hAnsi="仿宋_GB2312" w:eastAsia="仿宋_GB2312" w:cs="仿宋_GB2312"/>
          <w:spacing w:val="-28"/>
          <w:sz w:val="32"/>
          <w:szCs w:val="32"/>
        </w:rPr>
        <w:t>芦、冬瓜、芹菜、莴苣等)、特色蔬菜(芥菜、大葱、</w:t>
      </w:r>
      <w:r>
        <w:rPr>
          <w:rFonts w:hint="eastAsia" w:ascii="仿宋_GB2312" w:hAnsi="仿宋_GB2312" w:eastAsia="仿宋_GB2312" w:cs="仿宋_GB2312"/>
          <w:spacing w:val="-29"/>
          <w:sz w:val="32"/>
          <w:szCs w:val="32"/>
        </w:rPr>
        <w:t>洋葱、大</w:t>
      </w:r>
      <w:r>
        <w:rPr>
          <w:rFonts w:hint="eastAsia" w:ascii="仿宋_GB2312" w:hAnsi="仿宋_GB2312" w:eastAsia="仿宋_GB2312" w:cs="仿宋_GB2312"/>
          <w:spacing w:val="-24"/>
          <w:sz w:val="32"/>
          <w:szCs w:val="32"/>
        </w:rPr>
        <w:t>蒜、生姜、韭菜、莲藕、茭白、芋、荸荠、慈姑、菱、草莓、</w:t>
      </w:r>
      <w:r>
        <w:rPr>
          <w:rFonts w:hint="eastAsia" w:ascii="仿宋_GB2312" w:hAnsi="仿宋_GB2312" w:eastAsia="仿宋_GB2312" w:cs="仿宋_GB2312"/>
          <w:spacing w:val="-18"/>
          <w:sz w:val="32"/>
          <w:szCs w:val="32"/>
        </w:rPr>
        <w:t>黄花菜、芦笋、雍菜、芦蒿、黄秋葵、水芹等)育种、栽培、</w:t>
      </w:r>
      <w:r>
        <w:rPr>
          <w:rFonts w:hint="eastAsia" w:ascii="仿宋_GB2312" w:hAnsi="仿宋_GB2312" w:eastAsia="仿宋_GB2312" w:cs="仿宋_GB2312"/>
          <w:spacing w:val="-35"/>
          <w:sz w:val="32"/>
          <w:szCs w:val="32"/>
        </w:rPr>
        <w:t>植保、机械化、加工等主要环节，以及东北黑土地、北方旱地、</w:t>
      </w:r>
      <w:r>
        <w:rPr>
          <w:rFonts w:hint="eastAsia" w:ascii="仿宋_GB2312" w:hAnsi="仿宋_GB2312" w:eastAsia="仿宋_GB2312" w:cs="仿宋_GB2312"/>
          <w:spacing w:val="-29"/>
          <w:sz w:val="32"/>
          <w:szCs w:val="32"/>
        </w:rPr>
        <w:t>南方水田、南方旱地、盐碱地的土壤退化与防控领域，结合省</w:t>
      </w:r>
      <w:r>
        <w:rPr>
          <w:rFonts w:hint="eastAsia" w:ascii="仿宋_GB2312" w:hAnsi="仿宋_GB2312" w:eastAsia="仿宋_GB2312" w:cs="仿宋_GB2312"/>
          <w:spacing w:val="-28"/>
          <w:sz w:val="32"/>
          <w:szCs w:val="32"/>
        </w:rPr>
        <w:t>级产业技术体系建设，全面梳理所属区域相关产业或领域全国</w:t>
      </w:r>
      <w:r>
        <w:rPr>
          <w:rFonts w:hint="eastAsia" w:ascii="仿宋_GB2312" w:hAnsi="仿宋_GB2312" w:eastAsia="仿宋_GB2312" w:cs="仿宋_GB2312"/>
          <w:spacing w:val="-14"/>
          <w:sz w:val="32"/>
          <w:szCs w:val="32"/>
        </w:rPr>
        <w:t>农业科技专精特新优势团队情况。</w:t>
      </w:r>
    </w:p>
    <w:p w14:paraId="1EF1D558">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二、重点从市场认可度、产业支撑度、创新支撑度、创新认可度等方面遴选全国农业科技专精特新优势团队，形成</w:t>
      </w:r>
      <w:r>
        <w:rPr>
          <w:rFonts w:hint="eastAsia" w:ascii="仿宋_GB2312" w:hAnsi="仿宋_GB2312" w:eastAsia="仿宋_GB2312" w:cs="仿宋_GB2312"/>
          <w:spacing w:val="-10"/>
          <w:sz w:val="32"/>
          <w:szCs w:val="32"/>
        </w:rPr>
        <w:t>所属</w:t>
      </w:r>
      <w:r>
        <w:rPr>
          <w:rFonts w:hint="eastAsia" w:ascii="仿宋_GB2312" w:hAnsi="仿宋_GB2312" w:eastAsia="仿宋_GB2312" w:cs="仿宋_GB2312"/>
          <w:spacing w:val="2"/>
          <w:sz w:val="32"/>
          <w:szCs w:val="32"/>
        </w:rPr>
        <w:t>区域全国农业科技专精特新优势团队名单(参考附件1和附件</w:t>
      </w:r>
      <w:r>
        <w:rPr>
          <w:rFonts w:hint="eastAsia" w:ascii="仿宋_GB2312" w:hAnsi="仿宋_GB2312" w:eastAsia="仿宋_GB2312" w:cs="仿宋_GB2312"/>
          <w:spacing w:val="7"/>
          <w:sz w:val="32"/>
          <w:szCs w:val="32"/>
        </w:rPr>
        <w:t>2,附件2的内容仅作为参考版式)。</w:t>
      </w:r>
    </w:p>
    <w:p w14:paraId="111941FC">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三、请各地积极组织，凝聚各方力量共同开展农业科技专精特新优势团队征集，包括但不限于所属区域的高校、科研院</w:t>
      </w:r>
      <w:r>
        <w:rPr>
          <w:rFonts w:hint="eastAsia" w:ascii="仿宋_GB2312" w:hAnsi="仿宋_GB2312" w:eastAsia="仿宋_GB2312" w:cs="仿宋_GB2312"/>
          <w:spacing w:val="-17"/>
          <w:sz w:val="32"/>
          <w:szCs w:val="32"/>
        </w:rPr>
        <w:t>所、企业等。</w:t>
      </w:r>
    </w:p>
    <w:p w14:paraId="73F071D0">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四、请于11月30日前，将所属区域的全国农业科技专精</w:t>
      </w:r>
      <w:r>
        <w:rPr>
          <w:rFonts w:hint="eastAsia" w:ascii="仿宋_GB2312" w:hAnsi="仿宋_GB2312" w:eastAsia="仿宋_GB2312" w:cs="仿宋_GB2312"/>
          <w:spacing w:val="2"/>
          <w:sz w:val="32"/>
          <w:szCs w:val="32"/>
        </w:rPr>
        <w:t>特新优势团队清单(</w:t>
      </w:r>
      <w:r>
        <w:rPr>
          <w:rFonts w:hint="eastAsia" w:ascii="仿宋_GB2312" w:hAnsi="仿宋_GB2312" w:eastAsia="仿宋_GB2312" w:cs="仿宋_GB2312"/>
          <w:sz w:val="32"/>
          <w:szCs w:val="32"/>
        </w:rPr>
        <w:t>word</w:t>
      </w:r>
      <w:r>
        <w:rPr>
          <w:rFonts w:hint="eastAsia" w:ascii="仿宋_GB2312" w:hAnsi="仿宋_GB2312" w:eastAsia="仿宋_GB2312" w:cs="仿宋_GB2312"/>
          <w:spacing w:val="2"/>
          <w:sz w:val="32"/>
          <w:szCs w:val="32"/>
        </w:rPr>
        <w:t>版及</w:t>
      </w:r>
      <w:r>
        <w:rPr>
          <w:rFonts w:hint="eastAsia" w:ascii="仿宋_GB2312" w:hAnsi="仿宋_GB2312" w:eastAsia="仿宋_GB2312" w:cs="仿宋_GB2312"/>
          <w:sz w:val="32"/>
          <w:szCs w:val="32"/>
        </w:rPr>
        <w:t>PDF</w:t>
      </w:r>
      <w:r>
        <w:rPr>
          <w:rFonts w:hint="eastAsia" w:ascii="仿宋_GB2312" w:hAnsi="仿宋_GB2312" w:eastAsia="仿宋_GB2312" w:cs="仿宋_GB2312"/>
          <w:spacing w:val="2"/>
          <w:sz w:val="32"/>
          <w:szCs w:val="32"/>
        </w:rPr>
        <w:t>盖章扫描版)发送至邮箱</w:t>
      </w:r>
      <w:r>
        <w:rPr>
          <w:rFonts w:hint="eastAsia" w:ascii="仿宋_GB2312" w:hAnsi="仿宋_GB2312" w:eastAsia="仿宋_GB2312" w:cs="仿宋_GB2312"/>
          <w:spacing w:val="-5"/>
          <w:sz w:val="32"/>
          <w:szCs w:val="32"/>
        </w:rPr>
        <w:t>kjszjtx@163.com。</w:t>
      </w:r>
    </w:p>
    <w:p w14:paraId="61D2E90E">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5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五、联系人</w:t>
      </w:r>
    </w:p>
    <w:p w14:paraId="17470A96">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0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农业农村部南京农业机械化研究所</w:t>
      </w:r>
    </w:p>
    <w:p w14:paraId="75A85C27">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59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1"/>
          <w:sz w:val="32"/>
          <w:szCs w:val="32"/>
        </w:rPr>
        <w:t>张萌025-84346205</w:t>
      </w:r>
    </w:p>
    <w:p w14:paraId="01719783">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596"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1"/>
          <w:sz w:val="32"/>
          <w:szCs w:val="32"/>
        </w:rPr>
        <w:t>农业农村部科学技术司</w:t>
      </w:r>
    </w:p>
    <w:p w14:paraId="696E25E2">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杨琴010-59193075</w:t>
      </w:r>
    </w:p>
    <w:p w14:paraId="3B4A196A">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hint="eastAsia" w:ascii="仿宋_GB2312" w:hAnsi="仿宋_GB2312" w:eastAsia="仿宋_GB2312" w:cs="仿宋_GB2312"/>
          <w:sz w:val="32"/>
          <w:szCs w:val="32"/>
        </w:rPr>
      </w:pPr>
    </w:p>
    <w:p w14:paraId="04CBD635">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hint="eastAsia" w:ascii="仿宋_GB2312" w:hAnsi="仿宋_GB2312" w:eastAsia="仿宋_GB2312" w:cs="仿宋_GB2312"/>
          <w:sz w:val="32"/>
          <w:szCs w:val="32"/>
        </w:rPr>
      </w:pPr>
    </w:p>
    <w:p w14:paraId="14757DBE">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hint="eastAsia" w:ascii="仿宋_GB2312" w:hAnsi="仿宋_GB2312" w:eastAsia="仿宋_GB2312" w:cs="仿宋_GB2312"/>
          <w:sz w:val="32"/>
          <w:szCs w:val="32"/>
        </w:rPr>
      </w:pPr>
    </w:p>
    <w:p w14:paraId="5D4EC694">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hint="eastAsia" w:ascii="仿宋_GB2312" w:hAnsi="仿宋_GB2312" w:eastAsia="仿宋_GB2312" w:cs="仿宋_GB2312"/>
          <w:sz w:val="32"/>
          <w:szCs w:val="32"/>
        </w:rPr>
      </w:pPr>
    </w:p>
    <w:p w14:paraId="7C9A0407">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农业农村部科学技术司</w:t>
      </w:r>
    </w:p>
    <w:p w14:paraId="1F3FEC72">
      <w:pPr>
        <w:pStyle w:val="2"/>
        <w:keepNext w:val="0"/>
        <w:keepLines w:val="0"/>
        <w:pageBreakBefore w:val="0"/>
        <w:widowControl/>
        <w:kinsoku w:val="0"/>
        <w:wordWrap/>
        <w:overflowPunct/>
        <w:topLinePunct w:val="0"/>
        <w:autoSpaceDE w:val="0"/>
        <w:autoSpaceDN w:val="0"/>
        <w:bidi w:val="0"/>
        <w:adjustRightInd w:val="0"/>
        <w:snapToGrid w:val="0"/>
        <w:spacing w:line="590" w:lineRule="exact"/>
        <w:ind w:left="0" w:right="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5"/>
          <w:sz w:val="32"/>
          <w:szCs w:val="32"/>
        </w:rPr>
        <w:t>2024年11月7日</w:t>
      </w:r>
    </w:p>
    <w:p w14:paraId="1E85A6F7">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textAlignment w:val="baseline"/>
        <w:rPr>
          <w:rFonts w:hint="eastAsia" w:ascii="仿宋_GB2312" w:hAnsi="仿宋_GB2312" w:eastAsia="仿宋_GB2312" w:cs="仿宋_GB2312"/>
          <w:sz w:val="32"/>
          <w:szCs w:val="32"/>
        </w:rPr>
        <w:sectPr>
          <w:footerReference r:id="rId5" w:type="default"/>
          <w:pgSz w:w="11900" w:h="16830"/>
          <w:pgMar w:top="1134" w:right="1134" w:bottom="1134" w:left="1134" w:header="0" w:footer="1711" w:gutter="0"/>
          <w:cols w:space="720" w:num="1"/>
          <w:rtlGutter w:val="0"/>
          <w:docGrid w:linePitch="0" w:charSpace="0"/>
        </w:sectPr>
      </w:pPr>
    </w:p>
    <w:p w14:paraId="149C5170">
      <w:pPr>
        <w:spacing w:before="104" w:line="224" w:lineRule="auto"/>
        <w:rPr>
          <w:rFonts w:ascii="黑体" w:hAnsi="黑体" w:eastAsia="黑体" w:cs="黑体"/>
          <w:b w:val="0"/>
          <w:bCs w:val="0"/>
          <w:sz w:val="32"/>
          <w:szCs w:val="32"/>
        </w:rPr>
      </w:pPr>
      <w:r>
        <w:rPr>
          <w:rFonts w:ascii="黑体" w:hAnsi="黑体" w:eastAsia="黑体" w:cs="黑体"/>
          <w:b w:val="0"/>
          <w:bCs w:val="0"/>
          <w:spacing w:val="18"/>
          <w:sz w:val="32"/>
          <w:szCs w:val="32"/>
        </w:rPr>
        <w:t>附件1</w:t>
      </w:r>
    </w:p>
    <w:p w14:paraId="5B8B08AD">
      <w:pPr>
        <w:spacing w:before="236" w:line="219" w:lineRule="auto"/>
        <w:jc w:val="center"/>
        <w:rPr>
          <w:rFonts w:hint="eastAsia" w:ascii="方正小标宋简体" w:hAnsi="方正小标宋简体" w:eastAsia="方正小标宋简体" w:cs="方正小标宋简体"/>
          <w:b w:val="0"/>
          <w:bCs w:val="0"/>
          <w:spacing w:val="-12"/>
          <w:sz w:val="36"/>
          <w:szCs w:val="36"/>
        </w:rPr>
      </w:pPr>
    </w:p>
    <w:p w14:paraId="13306872">
      <w:pPr>
        <w:spacing w:before="236" w:line="219"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2"/>
          <w:sz w:val="36"/>
          <w:szCs w:val="36"/>
        </w:rPr>
        <w:t>全国农业科技专精特新优势团队主要标准</w:t>
      </w:r>
    </w:p>
    <w:p w14:paraId="588209CD">
      <w:pPr>
        <w:spacing w:line="260" w:lineRule="auto"/>
        <w:rPr>
          <w:rFonts w:ascii="Arial"/>
          <w:sz w:val="21"/>
        </w:rPr>
      </w:pPr>
    </w:p>
    <w:p w14:paraId="532BB2DF">
      <w:pPr>
        <w:spacing w:line="261" w:lineRule="auto"/>
        <w:rPr>
          <w:rFonts w:ascii="Arial"/>
          <w:sz w:val="21"/>
        </w:rPr>
      </w:pPr>
    </w:p>
    <w:p w14:paraId="16489784">
      <w:pPr>
        <w:spacing w:line="261" w:lineRule="auto"/>
        <w:rPr>
          <w:rFonts w:ascii="Arial"/>
          <w:sz w:val="21"/>
        </w:rPr>
      </w:pPr>
    </w:p>
    <w:p w14:paraId="5C7D41DD">
      <w:pPr>
        <w:keepNext w:val="0"/>
        <w:keepLines w:val="0"/>
        <w:pageBreakBefore w:val="0"/>
        <w:widowControl/>
        <w:kinsoku w:val="0"/>
        <w:wordWrap/>
        <w:overflowPunct/>
        <w:topLinePunct w:val="0"/>
        <w:autoSpaceDE w:val="0"/>
        <w:autoSpaceDN w:val="0"/>
        <w:bidi w:val="0"/>
        <w:adjustRightInd w:val="0"/>
        <w:snapToGrid w:val="0"/>
        <w:spacing w:line="590" w:lineRule="exact"/>
        <w:ind w:left="604"/>
        <w:textAlignment w:val="baseline"/>
        <w:rPr>
          <w:rFonts w:ascii="黑体" w:hAnsi="黑体" w:eastAsia="黑体" w:cs="黑体"/>
          <w:b w:val="0"/>
          <w:bCs w:val="0"/>
          <w:sz w:val="32"/>
          <w:szCs w:val="32"/>
        </w:rPr>
      </w:pPr>
      <w:r>
        <w:rPr>
          <w:rFonts w:ascii="黑体" w:hAnsi="黑体" w:eastAsia="黑体" w:cs="黑体"/>
          <w:b w:val="0"/>
          <w:bCs w:val="0"/>
          <w:spacing w:val="-14"/>
          <w:sz w:val="32"/>
          <w:szCs w:val="32"/>
        </w:rPr>
        <w:t>在以下某个方面表现突出或者综合实力强劲。</w:t>
      </w:r>
    </w:p>
    <w:p w14:paraId="67B6CF4E">
      <w:pPr>
        <w:keepNext w:val="0"/>
        <w:keepLines w:val="0"/>
        <w:pageBreakBefore w:val="0"/>
        <w:widowControl/>
        <w:kinsoku w:val="0"/>
        <w:wordWrap/>
        <w:overflowPunct/>
        <w:topLinePunct w:val="0"/>
        <w:autoSpaceDE w:val="0"/>
        <w:autoSpaceDN w:val="0"/>
        <w:bidi w:val="0"/>
        <w:adjustRightInd w:val="0"/>
        <w:snapToGrid w:val="0"/>
        <w:spacing w:line="590" w:lineRule="exact"/>
        <w:ind w:left="604"/>
        <w:textAlignment w:val="baseline"/>
        <w:outlineLvl w:val="0"/>
        <w:rPr>
          <w:rFonts w:ascii="黑体" w:hAnsi="黑体" w:eastAsia="黑体" w:cs="黑体"/>
          <w:b w:val="0"/>
          <w:bCs w:val="0"/>
          <w:sz w:val="32"/>
          <w:szCs w:val="32"/>
        </w:rPr>
      </w:pPr>
      <w:r>
        <w:rPr>
          <w:rFonts w:ascii="黑体" w:hAnsi="黑体" w:eastAsia="黑体" w:cs="黑体"/>
          <w:b w:val="0"/>
          <w:bCs w:val="0"/>
          <w:spacing w:val="-14"/>
          <w:sz w:val="32"/>
          <w:szCs w:val="32"/>
        </w:rPr>
        <w:t>一、市场认可度</w:t>
      </w:r>
    </w:p>
    <w:p w14:paraId="513DC4FD">
      <w:pPr>
        <w:pStyle w:val="2"/>
        <w:keepNext w:val="0"/>
        <w:keepLines w:val="0"/>
        <w:pageBreakBefore w:val="0"/>
        <w:widowControl/>
        <w:kinsoku w:val="0"/>
        <w:wordWrap/>
        <w:overflowPunct/>
        <w:topLinePunct w:val="0"/>
        <w:autoSpaceDE w:val="0"/>
        <w:autoSpaceDN w:val="0"/>
        <w:bidi w:val="0"/>
        <w:adjustRightInd w:val="0"/>
        <w:snapToGrid w:val="0"/>
        <w:spacing w:line="590" w:lineRule="exact"/>
        <w:ind w:right="120" w:firstLine="599"/>
        <w:jc w:val="both"/>
        <w:textAlignment w:val="baseline"/>
        <w:rPr>
          <w:b w:val="0"/>
          <w:bCs w:val="0"/>
          <w:sz w:val="32"/>
          <w:szCs w:val="32"/>
        </w:rPr>
      </w:pPr>
      <w:r>
        <w:rPr>
          <w:b w:val="0"/>
          <w:bCs w:val="0"/>
          <w:spacing w:val="-8"/>
          <w:sz w:val="32"/>
          <w:szCs w:val="32"/>
        </w:rPr>
        <w:t>科教单位团队：十年内具有一定规模的品种或技术成果转</w:t>
      </w:r>
      <w:r>
        <w:rPr>
          <w:b w:val="0"/>
          <w:bCs w:val="0"/>
          <w:spacing w:val="-10"/>
          <w:sz w:val="32"/>
          <w:szCs w:val="32"/>
        </w:rPr>
        <w:t>化，整体成果转化率较高、转让金额较大。企业科研团队：自</w:t>
      </w:r>
      <w:r>
        <w:rPr>
          <w:b w:val="0"/>
          <w:bCs w:val="0"/>
          <w:spacing w:val="-13"/>
          <w:sz w:val="32"/>
          <w:szCs w:val="32"/>
        </w:rPr>
        <w:t>有技术支撑的产品细分市场占有率较高。</w:t>
      </w:r>
    </w:p>
    <w:p w14:paraId="1CDB45DB">
      <w:pPr>
        <w:keepNext w:val="0"/>
        <w:keepLines w:val="0"/>
        <w:pageBreakBefore w:val="0"/>
        <w:widowControl/>
        <w:kinsoku w:val="0"/>
        <w:wordWrap/>
        <w:overflowPunct/>
        <w:topLinePunct w:val="0"/>
        <w:autoSpaceDE w:val="0"/>
        <w:autoSpaceDN w:val="0"/>
        <w:bidi w:val="0"/>
        <w:adjustRightInd w:val="0"/>
        <w:snapToGrid w:val="0"/>
        <w:spacing w:line="590" w:lineRule="exact"/>
        <w:ind w:left="604"/>
        <w:textAlignment w:val="baseline"/>
        <w:outlineLvl w:val="0"/>
        <w:rPr>
          <w:rFonts w:ascii="黑体" w:hAnsi="黑体" w:eastAsia="黑体" w:cs="黑体"/>
          <w:b w:val="0"/>
          <w:bCs w:val="0"/>
          <w:sz w:val="32"/>
          <w:szCs w:val="32"/>
        </w:rPr>
      </w:pPr>
      <w:r>
        <w:rPr>
          <w:rFonts w:ascii="黑体" w:hAnsi="黑体" w:eastAsia="黑体" w:cs="黑体"/>
          <w:b w:val="0"/>
          <w:bCs w:val="0"/>
          <w:spacing w:val="-16"/>
          <w:sz w:val="32"/>
          <w:szCs w:val="32"/>
        </w:rPr>
        <w:t>二、产业支撑度</w:t>
      </w:r>
    </w:p>
    <w:p w14:paraId="56933113">
      <w:pPr>
        <w:pStyle w:val="2"/>
        <w:keepNext w:val="0"/>
        <w:keepLines w:val="0"/>
        <w:pageBreakBefore w:val="0"/>
        <w:widowControl/>
        <w:kinsoku w:val="0"/>
        <w:wordWrap/>
        <w:overflowPunct/>
        <w:topLinePunct w:val="0"/>
        <w:autoSpaceDE w:val="0"/>
        <w:autoSpaceDN w:val="0"/>
        <w:bidi w:val="0"/>
        <w:adjustRightInd w:val="0"/>
        <w:snapToGrid w:val="0"/>
        <w:spacing w:line="590" w:lineRule="exact"/>
        <w:ind w:right="121" w:firstLine="599"/>
        <w:jc w:val="both"/>
        <w:textAlignment w:val="baseline"/>
        <w:rPr>
          <w:b w:val="0"/>
          <w:bCs w:val="0"/>
          <w:sz w:val="32"/>
          <w:szCs w:val="32"/>
        </w:rPr>
      </w:pPr>
      <w:r>
        <w:rPr>
          <w:b w:val="0"/>
          <w:bCs w:val="0"/>
          <w:spacing w:val="-8"/>
          <w:sz w:val="32"/>
          <w:szCs w:val="32"/>
        </w:rPr>
        <w:t>有较多品种或技术入选国家或省级主推技术品种，或在支</w:t>
      </w:r>
      <w:r>
        <w:rPr>
          <w:b w:val="0"/>
          <w:bCs w:val="0"/>
          <w:spacing w:val="-3"/>
          <w:sz w:val="32"/>
          <w:szCs w:val="32"/>
        </w:rPr>
        <w:t>撑全国或区域产业发展方面贡献显著,应用推广面积在本领域</w:t>
      </w:r>
      <w:r>
        <w:rPr>
          <w:b w:val="0"/>
          <w:bCs w:val="0"/>
          <w:spacing w:val="-16"/>
          <w:sz w:val="32"/>
          <w:szCs w:val="32"/>
        </w:rPr>
        <w:t>有较大比重等。</w:t>
      </w:r>
    </w:p>
    <w:p w14:paraId="161B19F4">
      <w:pPr>
        <w:keepNext w:val="0"/>
        <w:keepLines w:val="0"/>
        <w:pageBreakBefore w:val="0"/>
        <w:widowControl/>
        <w:kinsoku w:val="0"/>
        <w:wordWrap/>
        <w:overflowPunct/>
        <w:topLinePunct w:val="0"/>
        <w:autoSpaceDE w:val="0"/>
        <w:autoSpaceDN w:val="0"/>
        <w:bidi w:val="0"/>
        <w:adjustRightInd w:val="0"/>
        <w:snapToGrid w:val="0"/>
        <w:spacing w:line="590" w:lineRule="exact"/>
        <w:ind w:left="604"/>
        <w:textAlignment w:val="baseline"/>
        <w:outlineLvl w:val="0"/>
        <w:rPr>
          <w:rFonts w:ascii="黑体" w:hAnsi="黑体" w:eastAsia="黑体" w:cs="黑体"/>
          <w:b w:val="0"/>
          <w:bCs w:val="0"/>
          <w:sz w:val="32"/>
          <w:szCs w:val="32"/>
        </w:rPr>
      </w:pPr>
      <w:r>
        <w:rPr>
          <w:rFonts w:ascii="黑体" w:hAnsi="黑体" w:eastAsia="黑体" w:cs="黑体"/>
          <w:b w:val="0"/>
          <w:bCs w:val="0"/>
          <w:spacing w:val="-12"/>
          <w:sz w:val="32"/>
          <w:szCs w:val="32"/>
        </w:rPr>
        <w:t>三、创新支撑度</w:t>
      </w:r>
    </w:p>
    <w:p w14:paraId="044F3427">
      <w:pPr>
        <w:pStyle w:val="2"/>
        <w:keepNext w:val="0"/>
        <w:keepLines w:val="0"/>
        <w:pageBreakBefore w:val="0"/>
        <w:widowControl/>
        <w:kinsoku w:val="0"/>
        <w:wordWrap/>
        <w:overflowPunct/>
        <w:topLinePunct w:val="0"/>
        <w:autoSpaceDE w:val="0"/>
        <w:autoSpaceDN w:val="0"/>
        <w:bidi w:val="0"/>
        <w:adjustRightInd w:val="0"/>
        <w:snapToGrid w:val="0"/>
        <w:spacing w:line="590" w:lineRule="exact"/>
        <w:ind w:right="121" w:firstLine="599"/>
        <w:textAlignment w:val="baseline"/>
        <w:rPr>
          <w:b w:val="0"/>
          <w:bCs w:val="0"/>
          <w:sz w:val="32"/>
          <w:szCs w:val="32"/>
        </w:rPr>
      </w:pPr>
      <w:r>
        <w:rPr>
          <w:b w:val="0"/>
          <w:bCs w:val="0"/>
          <w:spacing w:val="-8"/>
          <w:sz w:val="32"/>
          <w:szCs w:val="32"/>
        </w:rPr>
        <w:t>建设有有力支撑创新的科研平台和创新团队，如国家工程</w:t>
      </w:r>
      <w:r>
        <w:rPr>
          <w:b w:val="0"/>
          <w:bCs w:val="0"/>
          <w:spacing w:val="-13"/>
          <w:sz w:val="32"/>
          <w:szCs w:val="32"/>
        </w:rPr>
        <w:t>技术中心、省级工程技术中心等。</w:t>
      </w:r>
    </w:p>
    <w:p w14:paraId="3124BAE9">
      <w:pPr>
        <w:keepNext w:val="0"/>
        <w:keepLines w:val="0"/>
        <w:pageBreakBefore w:val="0"/>
        <w:widowControl/>
        <w:kinsoku w:val="0"/>
        <w:wordWrap/>
        <w:overflowPunct/>
        <w:topLinePunct w:val="0"/>
        <w:autoSpaceDE w:val="0"/>
        <w:autoSpaceDN w:val="0"/>
        <w:bidi w:val="0"/>
        <w:adjustRightInd w:val="0"/>
        <w:snapToGrid w:val="0"/>
        <w:spacing w:line="590" w:lineRule="exact"/>
        <w:ind w:left="604"/>
        <w:textAlignment w:val="baseline"/>
        <w:outlineLvl w:val="0"/>
        <w:rPr>
          <w:rFonts w:ascii="黑体" w:hAnsi="黑体" w:eastAsia="黑体" w:cs="黑体"/>
          <w:b w:val="0"/>
          <w:bCs w:val="0"/>
          <w:sz w:val="32"/>
          <w:szCs w:val="32"/>
        </w:rPr>
      </w:pPr>
      <w:r>
        <w:rPr>
          <w:rFonts w:ascii="黑体" w:hAnsi="黑体" w:eastAsia="黑体" w:cs="黑体"/>
          <w:b w:val="0"/>
          <w:bCs w:val="0"/>
          <w:spacing w:val="-14"/>
          <w:sz w:val="32"/>
          <w:szCs w:val="32"/>
        </w:rPr>
        <w:t>四、创新认可度</w:t>
      </w:r>
    </w:p>
    <w:p w14:paraId="015F14AC">
      <w:pPr>
        <w:pStyle w:val="2"/>
        <w:keepNext w:val="0"/>
        <w:keepLines w:val="0"/>
        <w:pageBreakBefore w:val="0"/>
        <w:widowControl/>
        <w:kinsoku w:val="0"/>
        <w:wordWrap/>
        <w:overflowPunct/>
        <w:topLinePunct w:val="0"/>
        <w:autoSpaceDE w:val="0"/>
        <w:autoSpaceDN w:val="0"/>
        <w:bidi w:val="0"/>
        <w:adjustRightInd w:val="0"/>
        <w:snapToGrid w:val="0"/>
        <w:spacing w:line="590" w:lineRule="exact"/>
        <w:ind w:right="119" w:firstLine="599"/>
        <w:jc w:val="both"/>
        <w:textAlignment w:val="baseline"/>
        <w:rPr>
          <w:b w:val="0"/>
          <w:bCs w:val="0"/>
          <w:sz w:val="32"/>
          <w:szCs w:val="32"/>
        </w:rPr>
      </w:pPr>
      <w:r>
        <w:rPr>
          <w:b w:val="0"/>
          <w:bCs w:val="0"/>
          <w:spacing w:val="-8"/>
          <w:sz w:val="32"/>
          <w:szCs w:val="32"/>
        </w:rPr>
        <w:t>在该领域开展研究多年，取得了代表性的突出贡献。得到</w:t>
      </w:r>
      <w:r>
        <w:rPr>
          <w:b w:val="0"/>
          <w:bCs w:val="0"/>
          <w:spacing w:val="-9"/>
          <w:sz w:val="32"/>
          <w:szCs w:val="32"/>
        </w:rPr>
        <w:t>国内或国外本领域广泛认可，团队带头人获评国家或省部级高</w:t>
      </w:r>
      <w:r>
        <w:rPr>
          <w:b w:val="0"/>
          <w:bCs w:val="0"/>
          <w:spacing w:val="-19"/>
          <w:sz w:val="32"/>
          <w:szCs w:val="32"/>
        </w:rPr>
        <w:t>层次人才等。</w:t>
      </w:r>
    </w:p>
    <w:p w14:paraId="56571E93">
      <w:pPr>
        <w:rPr>
          <w:b w:val="0"/>
          <w:bCs w:val="0"/>
          <w:sz w:val="32"/>
          <w:szCs w:val="32"/>
        </w:rPr>
      </w:pPr>
      <w:r>
        <w:rPr>
          <w:b w:val="0"/>
          <w:bCs w:val="0"/>
          <w:sz w:val="32"/>
          <w:szCs w:val="32"/>
        </w:rPr>
        <w:br w:type="page"/>
      </w:r>
    </w:p>
    <w:p w14:paraId="533414E2">
      <w:pPr>
        <w:spacing w:before="101" w:line="224" w:lineRule="auto"/>
        <w:rPr>
          <w:rFonts w:ascii="黑体" w:hAnsi="黑体" w:eastAsia="黑体" w:cs="黑体"/>
          <w:b w:val="0"/>
          <w:bCs w:val="0"/>
          <w:spacing w:val="24"/>
          <w:sz w:val="31"/>
          <w:szCs w:val="31"/>
        </w:rPr>
        <w:sectPr>
          <w:footerReference r:id="rId6" w:type="default"/>
          <w:pgSz w:w="11900" w:h="16830"/>
          <w:pgMar w:top="1134" w:right="1134" w:bottom="1134" w:left="1134" w:header="0" w:footer="1643" w:gutter="0"/>
          <w:cols w:space="720" w:num="1"/>
          <w:rtlGutter w:val="0"/>
          <w:docGrid w:linePitch="0" w:charSpace="0"/>
        </w:sectPr>
      </w:pPr>
    </w:p>
    <w:p w14:paraId="03684E93">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3335C230">
      <w:pPr>
        <w:widowControl/>
        <w:spacing w:before="120" w:beforeLines="50" w:after="120" w:afterLines="50"/>
        <w:jc w:val="center"/>
        <w:textAlignment w:val="center"/>
        <w:rPr>
          <w:rFonts w:ascii="Times New Roman" w:hAnsi="Times New Roman" w:eastAsia="华文中宋" w:cs="Times New Roman"/>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全国农业科技专精特新优势团队信息表</w:t>
      </w:r>
    </w:p>
    <w:p w14:paraId="2D6305CC">
      <w:pPr>
        <w:keepNext w:val="0"/>
        <w:keepLines w:val="0"/>
        <w:pageBreakBefore w:val="0"/>
        <w:widowControl w:val="0"/>
        <w:kinsoku w:val="0"/>
        <w:wordWrap/>
        <w:overflowPunct/>
        <w:topLinePunct w:val="0"/>
        <w:autoSpaceDE w:val="0"/>
        <w:autoSpaceDN w:val="0"/>
        <w:bidi w:val="0"/>
        <w:adjustRightInd w:val="0"/>
        <w:snapToGrid w:val="0"/>
        <w:textAlignment w:val="center"/>
        <w:rPr>
          <w:rFonts w:ascii="Times New Roman" w:hAnsi="Times New Roman" w:cs="Times New Roman"/>
          <w:sz w:val="24"/>
          <w:szCs w:val="24"/>
        </w:rPr>
      </w:pPr>
      <w:r>
        <w:rPr>
          <w:rFonts w:hint="eastAsia" w:ascii="仿宋_GB2312" w:hAnsi="仿宋_GB2312" w:eastAsia="仿宋_GB2312" w:cs="仿宋_GB2312"/>
          <w:b/>
          <w:bCs/>
          <w:color w:val="000000"/>
          <w:kern w:val="0"/>
          <w:sz w:val="30"/>
          <w:szCs w:val="30"/>
        </w:rPr>
        <w:t>所在单位（盖章）：推荐单位（签章）：</w:t>
      </w:r>
    </w:p>
    <w:tbl>
      <w:tblPr>
        <w:tblStyle w:val="4"/>
        <w:tblpPr w:leftFromText="180" w:rightFromText="180" w:vertAnchor="text" w:horzAnchor="page" w:tblpX="1512" w:tblpY="443"/>
        <w:tblOverlap w:val="never"/>
        <w:tblW w:w="12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57"/>
        <w:gridCol w:w="851"/>
        <w:gridCol w:w="711"/>
        <w:gridCol w:w="731"/>
        <w:gridCol w:w="989"/>
        <w:gridCol w:w="1304"/>
        <w:gridCol w:w="1326"/>
        <w:gridCol w:w="1453"/>
        <w:gridCol w:w="1409"/>
        <w:gridCol w:w="1107"/>
        <w:gridCol w:w="1579"/>
      </w:tblGrid>
      <w:tr w14:paraId="6B7B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29" w:type="dxa"/>
            <w:vAlign w:val="center"/>
          </w:tcPr>
          <w:p w14:paraId="5786D3B9">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序号</w:t>
            </w:r>
          </w:p>
        </w:tc>
        <w:tc>
          <w:tcPr>
            <w:tcW w:w="757" w:type="dxa"/>
            <w:vAlign w:val="center"/>
          </w:tcPr>
          <w:p w14:paraId="13ECEF96">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涉及产业或领域</w:t>
            </w:r>
          </w:p>
        </w:tc>
        <w:tc>
          <w:tcPr>
            <w:tcW w:w="851" w:type="dxa"/>
            <w:vAlign w:val="center"/>
          </w:tcPr>
          <w:p w14:paraId="559628E9">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涉及学科或区域</w:t>
            </w:r>
          </w:p>
        </w:tc>
        <w:tc>
          <w:tcPr>
            <w:tcW w:w="711" w:type="dxa"/>
            <w:vAlign w:val="center"/>
          </w:tcPr>
          <w:p w14:paraId="677F28E3">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具体领域</w:t>
            </w:r>
          </w:p>
        </w:tc>
        <w:tc>
          <w:tcPr>
            <w:tcW w:w="731" w:type="dxa"/>
            <w:vAlign w:val="center"/>
          </w:tcPr>
          <w:p w14:paraId="37DB243A">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所在单位</w:t>
            </w:r>
          </w:p>
        </w:tc>
        <w:tc>
          <w:tcPr>
            <w:tcW w:w="989" w:type="dxa"/>
            <w:vAlign w:val="center"/>
          </w:tcPr>
          <w:p w14:paraId="7763FF70">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首席专家简介</w:t>
            </w:r>
          </w:p>
        </w:tc>
        <w:tc>
          <w:tcPr>
            <w:tcW w:w="1304" w:type="dxa"/>
            <w:vAlign w:val="center"/>
          </w:tcPr>
          <w:p w14:paraId="37218D97">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市场认可度</w:t>
            </w:r>
          </w:p>
        </w:tc>
        <w:tc>
          <w:tcPr>
            <w:tcW w:w="1326" w:type="dxa"/>
            <w:vAlign w:val="center"/>
          </w:tcPr>
          <w:p w14:paraId="5AA15387">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产业支撑度</w:t>
            </w:r>
          </w:p>
        </w:tc>
        <w:tc>
          <w:tcPr>
            <w:tcW w:w="1453" w:type="dxa"/>
            <w:vAlign w:val="center"/>
          </w:tcPr>
          <w:p w14:paraId="1B855FC9">
            <w:pPr>
              <w:widowControl/>
              <w:adjustRightInd w:val="0"/>
              <w:snapToGrid w:val="0"/>
              <w:spacing w:line="300" w:lineRule="exac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创新支撑度</w:t>
            </w:r>
          </w:p>
        </w:tc>
        <w:tc>
          <w:tcPr>
            <w:tcW w:w="1409" w:type="dxa"/>
            <w:vAlign w:val="center"/>
          </w:tcPr>
          <w:p w14:paraId="3E6A10F2">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创新认可度</w:t>
            </w:r>
          </w:p>
        </w:tc>
        <w:tc>
          <w:tcPr>
            <w:tcW w:w="1107" w:type="dxa"/>
            <w:vAlign w:val="center"/>
          </w:tcPr>
          <w:p w14:paraId="76B08032">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其他</w:t>
            </w:r>
          </w:p>
        </w:tc>
        <w:tc>
          <w:tcPr>
            <w:tcW w:w="1579" w:type="dxa"/>
            <w:vAlign w:val="center"/>
          </w:tcPr>
          <w:p w14:paraId="7ABD3828">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全国其他优势团队</w:t>
            </w:r>
            <w:r>
              <w:rPr>
                <w:rFonts w:hint="eastAsia" w:ascii="Times New Roman" w:hAnsi="Times New Roman" w:eastAsia="仿宋_GB2312" w:cs="Times New Roman"/>
                <w:b/>
                <w:bCs/>
                <w:kern w:val="0"/>
                <w:szCs w:val="21"/>
              </w:rPr>
              <w:t>建议</w:t>
            </w:r>
            <w:r>
              <w:rPr>
                <w:rFonts w:ascii="Times New Roman" w:hAnsi="Times New Roman" w:eastAsia="仿宋_GB2312" w:cs="Times New Roman"/>
                <w:b/>
                <w:bCs/>
                <w:kern w:val="0"/>
                <w:szCs w:val="21"/>
              </w:rPr>
              <w:t>（</w:t>
            </w:r>
            <w:r>
              <w:rPr>
                <w:rFonts w:ascii="Times New Roman" w:hAnsi="Times New Roman" w:eastAsia="仿宋_GB2312" w:cs="Times New Roman"/>
                <w:bCs/>
                <w:kern w:val="0"/>
                <w:szCs w:val="21"/>
              </w:rPr>
              <w:t>按优先序不超过4家</w:t>
            </w:r>
            <w:r>
              <w:rPr>
                <w:rFonts w:ascii="Times New Roman" w:hAnsi="Times New Roman" w:eastAsia="仿宋_GB2312" w:cs="Times New Roman"/>
                <w:b/>
                <w:bCs/>
                <w:kern w:val="0"/>
                <w:szCs w:val="21"/>
              </w:rPr>
              <w:t>）</w:t>
            </w:r>
          </w:p>
        </w:tc>
      </w:tr>
      <w:tr w14:paraId="491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65DE927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填写示例</w:t>
            </w:r>
            <w:r>
              <w:rPr>
                <w:rFonts w:hint="eastAsia" w:ascii="Times New Roman" w:hAnsi="Times New Roman" w:eastAsia="仿宋_GB2312" w:cs="Times New Roman"/>
                <w:b/>
                <w:bCs/>
                <w:kern w:val="0"/>
                <w:szCs w:val="21"/>
              </w:rPr>
              <w:t>1</w:t>
            </w:r>
          </w:p>
        </w:tc>
        <w:tc>
          <w:tcPr>
            <w:tcW w:w="757" w:type="dxa"/>
            <w:vAlign w:val="center"/>
          </w:tcPr>
          <w:p w14:paraId="79C6BAD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韭菜</w:t>
            </w:r>
          </w:p>
        </w:tc>
        <w:tc>
          <w:tcPr>
            <w:tcW w:w="851" w:type="dxa"/>
            <w:vAlign w:val="center"/>
          </w:tcPr>
          <w:p w14:paraId="5E2C6E50">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育种</w:t>
            </w:r>
          </w:p>
        </w:tc>
        <w:tc>
          <w:tcPr>
            <w:tcW w:w="711" w:type="dxa"/>
            <w:vAlign w:val="center"/>
          </w:tcPr>
          <w:p w14:paraId="7D5E8C6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韭菜育种</w:t>
            </w:r>
          </w:p>
        </w:tc>
        <w:tc>
          <w:tcPr>
            <w:tcW w:w="731" w:type="dxa"/>
            <w:vAlign w:val="center"/>
          </w:tcPr>
          <w:p w14:paraId="7DD07082">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***农业科学院</w:t>
            </w:r>
          </w:p>
        </w:tc>
        <w:tc>
          <w:tcPr>
            <w:tcW w:w="989" w:type="dxa"/>
            <w:vAlign w:val="center"/>
          </w:tcPr>
          <w:p w14:paraId="5AFB4F5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04" w:type="dxa"/>
            <w:vAlign w:val="center"/>
          </w:tcPr>
          <w:p w14:paraId="73ECCC21">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育成韭菜品种成果转化率达90%以上，近10年转让金额为***万元，主要转让品种如下。</w:t>
            </w:r>
          </w:p>
          <w:p w14:paraId="6A5FE3A6">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1.***，2017年，以***万元转让***企业，形式为一次性技术转让；</w:t>
            </w:r>
          </w:p>
          <w:p w14:paraId="3C20D18C">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26" w:type="dxa"/>
            <w:vAlign w:val="center"/>
          </w:tcPr>
          <w:p w14:paraId="5390F33B">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1.全国韭菜品种的主要来源。育成品种种植面积占全国韭菜总种植面积的70%；育成推广韭菜品种数占总推广韭菜新品种的70%；种子栽培供种量占全国市场的70%。</w:t>
            </w:r>
          </w:p>
          <w:p w14:paraId="18AC9656">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2、***个品种入选国家和省级主推品种。（1）***年，入选***（2）…</w:t>
            </w:r>
          </w:p>
        </w:tc>
        <w:tc>
          <w:tcPr>
            <w:tcW w:w="1453" w:type="dxa"/>
            <w:vAlign w:val="center"/>
          </w:tcPr>
          <w:p w14:paraId="3F3C36A9">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1.2010年，建成***韭菜工程技术研究中心；</w:t>
            </w:r>
          </w:p>
          <w:p w14:paraId="7D33C184">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09" w:type="dxa"/>
            <w:vAlign w:val="center"/>
          </w:tcPr>
          <w:p w14:paraId="3C3BEC6C">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20世纪70年代开始研究，选育的韭菜新品种791，填补了我国韭菜人工育种的空白。1.***年，成果名称，获国家科技进步二等奖（第*）</w:t>
            </w:r>
          </w:p>
          <w:p w14:paraId="2D2DC37A">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2.***年，成果名称，获***省科技进步一等奖（第*）</w:t>
            </w:r>
          </w:p>
        </w:tc>
        <w:tc>
          <w:tcPr>
            <w:tcW w:w="1107" w:type="dxa"/>
            <w:vAlign w:val="center"/>
          </w:tcPr>
          <w:p w14:paraId="33067647">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根据实际情况填写</w:t>
            </w:r>
          </w:p>
        </w:tc>
        <w:tc>
          <w:tcPr>
            <w:tcW w:w="1579" w:type="dxa"/>
            <w:vAlign w:val="center"/>
          </w:tcPr>
          <w:p w14:paraId="1747A6DD">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1.首席姓名，所在单位；</w:t>
            </w:r>
          </w:p>
          <w:p w14:paraId="1BE7718A">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2.首席姓名，所在单位；</w:t>
            </w:r>
          </w:p>
          <w:p w14:paraId="5B5129BB">
            <w:pPr>
              <w:widowControl/>
              <w:adjustRightInd w:val="0"/>
              <w:snapToGrid w:val="0"/>
              <w:spacing w:line="300" w:lineRule="exact"/>
              <w:rPr>
                <w:rFonts w:ascii="Times New Roman" w:hAnsi="Times New Roman" w:eastAsia="等线" w:cs="Times New Roman"/>
                <w:kern w:val="0"/>
                <w:szCs w:val="21"/>
              </w:rPr>
            </w:pPr>
            <w:r>
              <w:rPr>
                <w:rFonts w:ascii="Times New Roman" w:hAnsi="Times New Roman" w:eastAsia="仿宋_GB2312" w:cs="Times New Roman"/>
                <w:kern w:val="0"/>
                <w:szCs w:val="21"/>
              </w:rPr>
              <w:t>3….</w:t>
            </w:r>
          </w:p>
        </w:tc>
      </w:tr>
      <w:tr w14:paraId="11EE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77C02721">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填写</w:t>
            </w:r>
            <w:r>
              <w:rPr>
                <w:rFonts w:ascii="Times New Roman" w:hAnsi="Times New Roman" w:eastAsia="仿宋_GB2312" w:cs="Times New Roman"/>
                <w:kern w:val="0"/>
                <w:szCs w:val="21"/>
              </w:rPr>
              <w:t>示例</w:t>
            </w:r>
            <w:r>
              <w:rPr>
                <w:rFonts w:hint="eastAsia" w:ascii="Times New Roman" w:hAnsi="Times New Roman" w:eastAsia="仿宋_GB2312" w:cs="Times New Roman"/>
                <w:kern w:val="0"/>
                <w:szCs w:val="21"/>
              </w:rPr>
              <w:t>2</w:t>
            </w:r>
          </w:p>
        </w:tc>
        <w:tc>
          <w:tcPr>
            <w:tcW w:w="757" w:type="dxa"/>
            <w:vAlign w:val="center"/>
          </w:tcPr>
          <w:p w14:paraId="283B0A0A">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土壤退化与防控</w:t>
            </w:r>
          </w:p>
        </w:tc>
        <w:tc>
          <w:tcPr>
            <w:tcW w:w="851" w:type="dxa"/>
            <w:vAlign w:val="center"/>
          </w:tcPr>
          <w:p w14:paraId="611D1CBB">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东北黑土地</w:t>
            </w:r>
          </w:p>
        </w:tc>
        <w:tc>
          <w:tcPr>
            <w:tcW w:w="711" w:type="dxa"/>
            <w:vAlign w:val="center"/>
          </w:tcPr>
          <w:p w14:paraId="529FEB18">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土壤酸化阻控</w:t>
            </w:r>
          </w:p>
        </w:tc>
        <w:tc>
          <w:tcPr>
            <w:tcW w:w="731" w:type="dxa"/>
            <w:vAlign w:val="center"/>
          </w:tcPr>
          <w:p w14:paraId="4863281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989" w:type="dxa"/>
            <w:vAlign w:val="center"/>
          </w:tcPr>
          <w:p w14:paraId="2826E30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04" w:type="dxa"/>
            <w:vAlign w:val="center"/>
          </w:tcPr>
          <w:p w14:paraId="234E8273">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26" w:type="dxa"/>
            <w:vAlign w:val="center"/>
          </w:tcPr>
          <w:p w14:paraId="747D7DBF">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453" w:type="dxa"/>
            <w:vAlign w:val="center"/>
          </w:tcPr>
          <w:p w14:paraId="676E68EA">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409" w:type="dxa"/>
            <w:vAlign w:val="center"/>
          </w:tcPr>
          <w:p w14:paraId="062A6C61">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107" w:type="dxa"/>
            <w:vAlign w:val="center"/>
          </w:tcPr>
          <w:p w14:paraId="3AA95667">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579" w:type="dxa"/>
            <w:vAlign w:val="center"/>
          </w:tcPr>
          <w:p w14:paraId="66131670">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r>
      <w:tr w14:paraId="6D9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623AC0D0">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757" w:type="dxa"/>
            <w:vAlign w:val="center"/>
          </w:tcPr>
          <w:p w14:paraId="0FB63DD3">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53EE39A7">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013CAA43">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5CC7A05D">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667199F1">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63FE1877">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11C3CA01">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683338F0">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3BB6E344">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1910E1CC">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380484C4">
            <w:pPr>
              <w:widowControl/>
              <w:adjustRightInd w:val="0"/>
              <w:snapToGrid w:val="0"/>
              <w:spacing w:line="300" w:lineRule="exact"/>
              <w:jc w:val="center"/>
              <w:rPr>
                <w:rFonts w:ascii="Times New Roman" w:hAnsi="Times New Roman" w:eastAsia="等线" w:cs="Times New Roman"/>
                <w:kern w:val="0"/>
                <w:szCs w:val="21"/>
              </w:rPr>
            </w:pPr>
          </w:p>
        </w:tc>
      </w:tr>
      <w:tr w14:paraId="7D88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29" w:type="dxa"/>
            <w:vAlign w:val="center"/>
          </w:tcPr>
          <w:p w14:paraId="74EB2E3A">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757" w:type="dxa"/>
            <w:vAlign w:val="center"/>
          </w:tcPr>
          <w:p w14:paraId="7DD90DC3">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649581D2">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655272DA">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6D2E8D0A">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6F437E63">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76EF10FC">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04225F83">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161247A4">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579E17BC">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60398C25">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6A1ADC1E">
            <w:pPr>
              <w:widowControl/>
              <w:adjustRightInd w:val="0"/>
              <w:snapToGrid w:val="0"/>
              <w:spacing w:line="300" w:lineRule="exact"/>
              <w:jc w:val="center"/>
              <w:rPr>
                <w:rFonts w:ascii="Times New Roman" w:hAnsi="Times New Roman" w:eastAsia="等线" w:cs="Times New Roman"/>
                <w:kern w:val="0"/>
                <w:szCs w:val="21"/>
              </w:rPr>
            </w:pPr>
          </w:p>
        </w:tc>
      </w:tr>
      <w:tr w14:paraId="3821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9" w:type="dxa"/>
            <w:vAlign w:val="center"/>
          </w:tcPr>
          <w:p w14:paraId="13577852">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757" w:type="dxa"/>
            <w:vAlign w:val="center"/>
          </w:tcPr>
          <w:p w14:paraId="50CCC256">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1305ECE1">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38BCD70A">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3E79270C">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6E39682C">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4FF51EBD">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68D78FEF">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47CB9473">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411F893E">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10452905">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31A29187">
            <w:pPr>
              <w:widowControl/>
              <w:adjustRightInd w:val="0"/>
              <w:snapToGrid w:val="0"/>
              <w:spacing w:line="300" w:lineRule="exact"/>
              <w:jc w:val="center"/>
              <w:rPr>
                <w:rFonts w:ascii="Times New Roman" w:hAnsi="Times New Roman" w:eastAsia="等线" w:cs="Times New Roman"/>
                <w:kern w:val="0"/>
                <w:szCs w:val="21"/>
              </w:rPr>
            </w:pPr>
          </w:p>
        </w:tc>
      </w:tr>
    </w:tbl>
    <w:p w14:paraId="7FEAD964">
      <w:pPr>
        <w:adjustRightInd w:val="0"/>
        <w:snapToGrid w:val="0"/>
        <w:ind w:firstLine="420" w:firstLineChars="200"/>
        <w:rPr>
          <w:rFonts w:ascii="Times New Roman" w:hAnsi="Times New Roman" w:eastAsia="仿宋_GB2312" w:cs="Times New Roman"/>
          <w:sz w:val="32"/>
          <w:szCs w:val="32"/>
        </w:rPr>
      </w:pPr>
      <w:r>
        <w:rPr>
          <w:rFonts w:ascii="Times New Roman" w:hAnsi="Times New Roman" w:eastAsia="仿宋_GB2312" w:cs="Times New Roman"/>
        </w:rPr>
        <w:t>填写说明：1.涉及产业或领域：</w:t>
      </w:r>
      <w:r>
        <w:rPr>
          <w:rFonts w:hint="eastAsia" w:ascii="Times New Roman" w:hAnsi="Times New Roman" w:eastAsia="仿宋_GB2312" w:cs="Times New Roman"/>
        </w:rPr>
        <w:t>甘蓝、黄瓜、茄子、芥菜</w:t>
      </w:r>
      <w:r>
        <w:rPr>
          <w:rFonts w:ascii="Times New Roman" w:hAnsi="Times New Roman" w:eastAsia="仿宋_GB2312" w:cs="Times New Roman"/>
        </w:rPr>
        <w:t>等通知列出的</w:t>
      </w:r>
      <w:r>
        <w:rPr>
          <w:rFonts w:hint="eastAsia" w:ascii="Times New Roman" w:hAnsi="Times New Roman" w:eastAsia="仿宋_GB2312" w:cs="Times New Roman"/>
        </w:rPr>
        <w:t>农业</w:t>
      </w:r>
      <w:r>
        <w:rPr>
          <w:rFonts w:ascii="Times New Roman" w:hAnsi="Times New Roman" w:eastAsia="仿宋_GB2312" w:cs="Times New Roman"/>
        </w:rPr>
        <w:t>产业，</w:t>
      </w:r>
      <w:r>
        <w:rPr>
          <w:rFonts w:hint="eastAsia" w:ascii="Times New Roman" w:hAnsi="Times New Roman" w:eastAsia="仿宋_GB2312" w:cs="Times New Roman"/>
        </w:rPr>
        <w:t>或</w:t>
      </w:r>
      <w:r>
        <w:rPr>
          <w:rFonts w:hint="eastAsia" w:ascii="Times New Roman" w:hAnsi="Times New Roman" w:eastAsia="仿宋_GB2312" w:cs="Times New Roman"/>
          <w:kern w:val="0"/>
          <w:szCs w:val="21"/>
        </w:rPr>
        <w:t>土壤退化与防控</w:t>
      </w:r>
      <w:r>
        <w:rPr>
          <w:rFonts w:ascii="Times New Roman" w:hAnsi="Times New Roman" w:eastAsia="仿宋_GB2312" w:cs="Times New Roman"/>
        </w:rPr>
        <w:t>；2.涉及学科或区域：</w:t>
      </w:r>
      <w:r>
        <w:rPr>
          <w:rFonts w:hint="eastAsia" w:ascii="Times New Roman" w:hAnsi="Times New Roman" w:eastAsia="仿宋_GB2312" w:cs="Times New Roman"/>
        </w:rPr>
        <w:t>育种、栽培、植保、机械化、加工，或东北黑土地、北方旱地、南方水田、南方旱地、盐碱地等</w:t>
      </w:r>
      <w:r>
        <w:rPr>
          <w:rFonts w:ascii="Times New Roman" w:hAnsi="Times New Roman" w:eastAsia="仿宋_GB2312" w:cs="Times New Roman"/>
        </w:rPr>
        <w:t>；3.具体领域：可以是某个产业的全细分领域如韭菜育种，也可以是某个具体的细分领域如抗逆性韭菜育种，</w:t>
      </w:r>
      <w:r>
        <w:rPr>
          <w:rFonts w:hint="eastAsia" w:ascii="Times New Roman" w:hAnsi="Times New Roman" w:eastAsia="仿宋_GB2312" w:cs="Times New Roman"/>
        </w:rPr>
        <w:t>土壤</w:t>
      </w:r>
      <w:r>
        <w:rPr>
          <w:rFonts w:ascii="Times New Roman" w:hAnsi="Times New Roman" w:eastAsia="仿宋_GB2312" w:cs="Times New Roman"/>
        </w:rPr>
        <w:t>退化与防控</w:t>
      </w:r>
      <w:r>
        <w:rPr>
          <w:rFonts w:hint="eastAsia" w:ascii="Times New Roman" w:hAnsi="Times New Roman" w:eastAsia="仿宋_GB2312" w:cs="Times New Roman"/>
        </w:rPr>
        <w:t>相关的</w:t>
      </w:r>
      <w:r>
        <w:rPr>
          <w:rFonts w:ascii="Times New Roman" w:hAnsi="Times New Roman" w:eastAsia="仿宋_GB2312" w:cs="Times New Roman"/>
        </w:rPr>
        <w:t>填写</w:t>
      </w:r>
      <w:r>
        <w:rPr>
          <w:rFonts w:hint="eastAsia" w:ascii="Times New Roman" w:hAnsi="Times New Roman" w:eastAsia="仿宋_GB2312" w:cs="Times New Roman"/>
        </w:rPr>
        <w:t>土壤酸化阻控、土壤次生盐碱化防控、土壤连作障碍消减、土壤内稳性地力提升、环境污染与修复等</w:t>
      </w:r>
      <w:r>
        <w:rPr>
          <w:rFonts w:ascii="Times New Roman" w:hAnsi="Times New Roman" w:eastAsia="仿宋_GB2312" w:cs="Times New Roman"/>
        </w:rPr>
        <w:t>细分领域；4.首席专家简介：需包括姓名、职务职称、所学专业和目前从事专业、省级及以上人才称号、主要业绩、联系方式等，如果是国家或省级现代农业产业技术体系岗站专家需明确说明所在岗站名称；5.市场认可度：描述近十年培育品种或研发技术装备转让情况，需明确转让金额和方式，如一次性转让还是一次性加销售提成等；6.产业支撑度：描述近十年支撑全国或区域产业发展情况（需要有明确的量化</w:t>
      </w:r>
      <w:r>
        <w:rPr>
          <w:rFonts w:hint="eastAsia" w:ascii="Times New Roman" w:hAnsi="Times New Roman" w:eastAsia="仿宋_GB2312" w:cs="Times New Roman"/>
        </w:rPr>
        <w:t>指标</w:t>
      </w:r>
      <w:r>
        <w:rPr>
          <w:rFonts w:ascii="Times New Roman" w:hAnsi="Times New Roman" w:eastAsia="仿宋_GB2312" w:cs="Times New Roman"/>
        </w:rPr>
        <w:t>，参考示例），</w:t>
      </w:r>
      <w:r>
        <w:rPr>
          <w:rFonts w:hint="eastAsia" w:ascii="Times New Roman" w:hAnsi="Times New Roman" w:eastAsia="仿宋_GB2312" w:cs="Times New Roman"/>
        </w:rPr>
        <w:t>或</w:t>
      </w:r>
      <w:r>
        <w:rPr>
          <w:rFonts w:ascii="Times New Roman" w:hAnsi="Times New Roman" w:eastAsia="仿宋_GB2312" w:cs="Times New Roman"/>
        </w:rPr>
        <w:t>培育品种或研发技术装备入选农业农村部或省级主导品种或主推技术情况等；7.创新支撑度：描述近十年牵头建设的国家或省部级重要应用型科研平台情况，需注明批复建设年度；8.创新认可度：描述历史上开展本领域研究情况和做出的突出贡献，以及近十年承担的应用型国家级科研项目等情况；9.其他：描述其他可能代表行业优势地位的情况；10.全国其他优势团队：指本领域排名全国前五的其他优势团队，需写明首席姓名和所在单位名称；1</w:t>
      </w:r>
      <w:r>
        <w:rPr>
          <w:rFonts w:hint="eastAsia" w:ascii="Times New Roman" w:hAnsi="Times New Roman" w:eastAsia="仿宋_GB2312" w:cs="Times New Roman"/>
        </w:rPr>
        <w:t>1</w:t>
      </w:r>
      <w:r>
        <w:rPr>
          <w:rFonts w:ascii="Times New Roman" w:hAnsi="Times New Roman" w:eastAsia="仿宋_GB2312" w:cs="Times New Roman"/>
        </w:rPr>
        <w:t>.市场认可度、产业支撑度、创新支撑度、创新认可度等，每项填写原则上均不超过</w:t>
      </w:r>
      <w:r>
        <w:rPr>
          <w:rFonts w:hint="eastAsia" w:ascii="Times New Roman" w:hAnsi="Times New Roman" w:eastAsia="仿宋_GB2312" w:cs="Times New Roman"/>
        </w:rPr>
        <w:t>5</w:t>
      </w:r>
      <w:r>
        <w:rPr>
          <w:rFonts w:ascii="Times New Roman" w:hAnsi="Times New Roman" w:eastAsia="仿宋_GB2312" w:cs="Times New Roman"/>
        </w:rPr>
        <w:t>00字；1</w:t>
      </w:r>
      <w:r>
        <w:rPr>
          <w:rFonts w:hint="eastAsia" w:ascii="Times New Roman" w:hAnsi="Times New Roman" w:eastAsia="仿宋_GB2312" w:cs="Times New Roman"/>
        </w:rPr>
        <w:t>2</w:t>
      </w:r>
      <w:r>
        <w:rPr>
          <w:rFonts w:ascii="Times New Roman" w:hAnsi="Times New Roman" w:eastAsia="仿宋_GB2312" w:cs="Times New Roman"/>
        </w:rPr>
        <w:t>.信息表中统计数据周期为2014年1月1日-2023年12月31日，所有核心数据原则上都要有相应佐证材料，所在单位对所有信息资料的真实性负责。</w:t>
      </w:r>
    </w:p>
    <w:p w14:paraId="6D07E0E2">
      <w:pPr>
        <w:rPr>
          <w:sz w:val="22"/>
          <w:szCs w:val="22"/>
        </w:rPr>
      </w:pPr>
    </w:p>
    <w:sectPr>
      <w:footerReference r:id="rId7" w:type="default"/>
      <w:pgSz w:w="15840" w:h="12240" w:orient="landscape"/>
      <w:pgMar w:top="1797" w:right="1440" w:bottom="1797"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1D08">
    <w:pPr>
      <w:spacing w:line="172" w:lineRule="auto"/>
      <w:ind w:left="412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FF9E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FF9E1">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13"/>
        <w:szCs w:val="13"/>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0363">
    <w:pPr>
      <w:spacing w:line="172" w:lineRule="auto"/>
      <w:ind w:left="412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EE9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EEEE99">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ascii="Times New Roman" w:hAnsi="Times New Roman" w:eastAsia="Times New Roman" w:cs="Times New Roman"/>
        <w:sz w:val="13"/>
        <w:szCs w:val="13"/>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78538"/>
    </w:sdtPr>
    <w:sdtContent>
      <w:p w14:paraId="5CAF42AA">
        <w:pPr>
          <w:pStyle w:val="3"/>
          <w:jc w:val="center"/>
        </w:pPr>
        <w:r>
          <w:fldChar w:fldCharType="begin"/>
        </w:r>
        <w:r>
          <w:instrText xml:space="preserve">PAGE   \* MERGEFORMAT</w:instrText>
        </w:r>
        <w:r>
          <w:fldChar w:fldCharType="separate"/>
        </w:r>
        <w:r>
          <w:rPr>
            <w:lang w:val="zh-CN"/>
          </w:rPr>
          <w:t>4</w:t>
        </w:r>
        <w:r>
          <w:fldChar w:fldCharType="end"/>
        </w:r>
      </w:p>
    </w:sdtContent>
  </w:sdt>
  <w:p w14:paraId="520D35C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defaultTabStop w:val="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c4Njc0NWU4OWQxOTY2YTQ1Njk4Yzg0MDM1NTI5ZDUifQ=="/>
  </w:docVars>
  <w:rsids>
    <w:rsidRoot w:val="00000000"/>
    <w:rsid w:val="02BF3353"/>
    <w:rsid w:val="034F2051"/>
    <w:rsid w:val="036A7762"/>
    <w:rsid w:val="04A647CA"/>
    <w:rsid w:val="0A7D7D7B"/>
    <w:rsid w:val="0B082A4D"/>
    <w:rsid w:val="0E4E6026"/>
    <w:rsid w:val="1021564D"/>
    <w:rsid w:val="1461070D"/>
    <w:rsid w:val="162B4B2F"/>
    <w:rsid w:val="18506ACF"/>
    <w:rsid w:val="238241FC"/>
    <w:rsid w:val="2BCE7FDF"/>
    <w:rsid w:val="2D99461C"/>
    <w:rsid w:val="2E2959A0"/>
    <w:rsid w:val="33770F5C"/>
    <w:rsid w:val="35ED3757"/>
    <w:rsid w:val="3BBA7AAD"/>
    <w:rsid w:val="40827192"/>
    <w:rsid w:val="4C8D3147"/>
    <w:rsid w:val="517F5754"/>
    <w:rsid w:val="5ABD72ED"/>
    <w:rsid w:val="5B3E042E"/>
    <w:rsid w:val="5CBF418B"/>
    <w:rsid w:val="5D042FB1"/>
    <w:rsid w:val="5D166DEB"/>
    <w:rsid w:val="5D535CE6"/>
    <w:rsid w:val="602D0A71"/>
    <w:rsid w:val="62816E52"/>
    <w:rsid w:val="63E87188"/>
    <w:rsid w:val="647307E7"/>
    <w:rsid w:val="64A62BA0"/>
    <w:rsid w:val="66D9725C"/>
    <w:rsid w:val="6F394D3C"/>
    <w:rsid w:val="76F8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2139</Words>
  <Characters>2292</Characters>
  <TotalTime>61</TotalTime>
  <ScaleCrop>false</ScaleCrop>
  <LinksUpToDate>false</LinksUpToDate>
  <CharactersWithSpaces>2292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2024-11-13T11:59:00Z</dcterms:created>
  <dc:creator>Kingsoft-PDF</dc:creator>
  <cp:lastModifiedBy>夏杰</cp:lastModifiedBy>
  <dcterms:modified xsi:type="dcterms:W3CDTF">2024-11-14T06:55:27Z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2024-11-13T11:59:13Z</vt:filetime>
  </property>
  <property fmtid="{D5CDD505-2E9C-101B-9397-08002B2CF9AE}" pid="4" name="UsrData">
    <vt:lpwstr>6734240e924d7800205f5c51wl</vt:lpwstr>
  </property>
  <property fmtid="{D5CDD505-2E9C-101B-9397-08002B2CF9AE}" pid="5" name="KSOProductBuildVer">
    <vt:lpwstr>2052-12.1.0.18912</vt:lpwstr>
  </property>
  <property fmtid="{D5CDD505-2E9C-101B-9397-08002B2CF9AE}" pid="6" name="ICV">
    <vt:lpwstr>140E822B64A34C5E86CB031899E79560_13</vt:lpwstr>
  </property>
</Properties>
</file>