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kinsoku/>
        <w:wordWrap/>
        <w:overflowPunct/>
        <w:adjustRightInd w:val="0"/>
        <w:spacing w:beforeLines="0" w:afterLines="0" w:line="590" w:lineRule="exact"/>
        <w:ind w:firstLine="0" w:firstLineChars="0"/>
        <w:rPr>
          <w:rFonts w:hint="default"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附件</w:t>
      </w:r>
      <w:r>
        <w:rPr>
          <w:rFonts w:hint="eastAsia" w:ascii="黑体" w:hAnsi="黑体" w:eastAsia="黑体" w:cs="黑体"/>
          <w:b w:val="0"/>
          <w:bCs w:val="0"/>
          <w:color w:val="auto"/>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spacing w:before="0" w:beforeLines="0" w:afterLines="0" w:line="590" w:lineRule="exact"/>
        <w:ind w:right="0" w:righ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Lines="0" w:line="590" w:lineRule="exact"/>
        <w:ind w:right="0" w:rightChars="0" w:firstLine="0" w:firstLineChars="0"/>
        <w:jc w:val="center"/>
        <w:textAlignment w:val="auto"/>
        <w:rPr>
          <w:rFonts w:hint="eastAsia" w:ascii="黑体" w:hAnsi="黑体" w:eastAsia="黑体" w:cs="黑体"/>
          <w:b w:val="0"/>
          <w:bCs w:val="0"/>
          <w:color w:val="auto"/>
          <w:kern w:val="0"/>
          <w:sz w:val="32"/>
          <w:szCs w:val="32"/>
          <w:lang w:eastAsia="zh-CN"/>
        </w:rPr>
      </w:pPr>
      <w:r>
        <w:rPr>
          <w:rFonts w:hint="eastAsia" w:ascii="方正小标宋简体" w:hAnsi="方正小标宋简体" w:eastAsia="方正小标宋简体" w:cs="方正小标宋简体"/>
          <w:b w:val="0"/>
          <w:bCs w:val="0"/>
          <w:kern w:val="0"/>
          <w:sz w:val="44"/>
          <w:szCs w:val="44"/>
          <w:lang w:val="en-US" w:eastAsia="zh-CN"/>
        </w:rPr>
        <w:t>2024年</w:t>
      </w:r>
      <w:r>
        <w:rPr>
          <w:rFonts w:hint="eastAsia" w:ascii="方正小标宋简体" w:hAnsi="方正小标宋简体" w:eastAsia="方正小标宋简体" w:cs="方正小标宋简体"/>
          <w:b w:val="0"/>
          <w:bCs w:val="0"/>
          <w:kern w:val="0"/>
          <w:sz w:val="44"/>
          <w:szCs w:val="44"/>
          <w:lang w:eastAsia="zh-CN"/>
        </w:rPr>
        <w:t>化肥减量增效项目申报指南</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right="0" w:rightChars="0" w:firstLine="0" w:firstLineChars="0"/>
        <w:jc w:val="both"/>
        <w:rPr>
          <w:rFonts w:hint="eastAsia" w:ascii="方正小标宋简体" w:hAnsi="方正小标宋简体" w:eastAsia="方正小标宋简体" w:cs="方正小标宋简体"/>
          <w:b w:val="0"/>
          <w:bCs w:val="0"/>
          <w:color w:val="auto"/>
          <w:kern w:val="0"/>
          <w:sz w:val="44"/>
          <w:szCs w:val="44"/>
          <w:lang w:eastAsia="zh-CN"/>
        </w:rPr>
      </w:pPr>
    </w:p>
    <w:p>
      <w:pPr>
        <w:keepNext w:val="0"/>
        <w:keepLines w:val="0"/>
        <w:pageBreakBefore w:val="0"/>
        <w:widowControl w:val="0"/>
        <w:tabs>
          <w:tab w:val="left" w:pos="494"/>
          <w:tab w:val="left" w:pos="3570"/>
        </w:tabs>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楷体_GB2312" w:hAnsi="楷体_GB2312" w:eastAsia="楷体_GB2312" w:cs="楷体_GB2312"/>
          <w:b w:val="0"/>
          <w:bCs/>
          <w:caps w:val="0"/>
          <w:color w:val="000000"/>
          <w:spacing w:val="0"/>
          <w:kern w:val="0"/>
          <w:sz w:val="32"/>
          <w:szCs w:val="32"/>
        </w:rPr>
      </w:pPr>
      <w:r>
        <w:rPr>
          <w:rFonts w:hint="eastAsia" w:ascii="黑体" w:hAnsi="黑体" w:eastAsia="黑体" w:cs="黑体"/>
          <w:b w:val="0"/>
          <w:bCs/>
          <w:caps w:val="0"/>
          <w:color w:val="000000"/>
          <w:spacing w:val="0"/>
          <w:kern w:val="0"/>
          <w:sz w:val="32"/>
          <w:szCs w:val="32"/>
          <w:lang w:eastAsia="zh-CN"/>
        </w:rPr>
        <w:t>一、</w:t>
      </w:r>
      <w:r>
        <w:rPr>
          <w:rFonts w:hint="eastAsia" w:ascii="黑体" w:hAnsi="黑体" w:eastAsia="黑体" w:cs="黑体"/>
          <w:b w:val="0"/>
          <w:bCs/>
          <w:caps w:val="0"/>
          <w:color w:val="000000"/>
          <w:spacing w:val="0"/>
          <w:kern w:val="0"/>
          <w:sz w:val="32"/>
          <w:szCs w:val="32"/>
        </w:rPr>
        <w:t>总体目标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color w:val="000000"/>
          <w:spacing w:val="0"/>
          <w:kern w:val="0"/>
          <w:sz w:val="32"/>
          <w:szCs w:val="32"/>
        </w:rPr>
      </w:pPr>
      <w:r>
        <w:rPr>
          <w:rFonts w:hint="eastAsia" w:ascii="仿宋_GB2312" w:hAnsi="仿宋_GB2312" w:eastAsia="仿宋_GB2312" w:cs="仿宋_GB2312"/>
          <w:caps w:val="0"/>
          <w:color w:val="000000"/>
          <w:spacing w:val="0"/>
          <w:kern w:val="0"/>
          <w:sz w:val="32"/>
          <w:szCs w:val="32"/>
          <w:lang w:eastAsia="zh-CN"/>
        </w:rPr>
        <w:t>实施科学施肥增效行动，深入推进化肥减量化，</w:t>
      </w:r>
      <w:r>
        <w:rPr>
          <w:rFonts w:hint="eastAsia" w:ascii="仿宋_GB2312" w:hAnsi="仿宋_GB2312" w:eastAsia="仿宋_GB2312" w:cs="仿宋_GB2312"/>
          <w:bCs/>
          <w:caps w:val="0"/>
          <w:color w:val="000000"/>
          <w:spacing w:val="0"/>
          <w:kern w:val="0"/>
          <w:sz w:val="32"/>
          <w:szCs w:val="32"/>
          <w:lang w:eastAsia="zh-CN"/>
        </w:rPr>
        <w:t>力促</w:t>
      </w:r>
      <w:r>
        <w:rPr>
          <w:rFonts w:hint="eastAsia" w:ascii="仿宋_GB2312" w:hAnsi="仿宋_GB2312" w:eastAsia="仿宋_GB2312" w:cs="仿宋_GB2312"/>
          <w:caps w:val="0"/>
          <w:color w:val="000000"/>
          <w:spacing w:val="0"/>
          <w:kern w:val="0"/>
          <w:sz w:val="32"/>
          <w:szCs w:val="32"/>
          <w:lang w:eastAsia="zh-CN"/>
        </w:rPr>
        <w:t>全省化肥使用量继续保持负增长</w:t>
      </w:r>
      <w:r>
        <w:rPr>
          <w:rFonts w:hint="eastAsia" w:ascii="仿宋_GB2312" w:hAnsi="仿宋_GB2312" w:eastAsia="仿宋_GB2312" w:cs="仿宋_GB2312"/>
          <w:caps w:val="0"/>
          <w:color w:val="000000"/>
          <w:spacing w:val="0"/>
          <w:kern w:val="0"/>
          <w:sz w:val="32"/>
          <w:szCs w:val="32"/>
        </w:rPr>
        <w:t>。</w:t>
      </w:r>
      <w:r>
        <w:rPr>
          <w:rFonts w:hint="eastAsia" w:ascii="仿宋_GB2312" w:hAnsi="仿宋_GB2312" w:eastAsia="仿宋_GB2312" w:cs="仿宋_GB2312"/>
          <w:caps w:val="0"/>
          <w:color w:val="000000"/>
          <w:spacing w:val="0"/>
          <w:kern w:val="0"/>
          <w:sz w:val="32"/>
          <w:szCs w:val="32"/>
          <w:lang w:eastAsia="zh-CN"/>
        </w:rPr>
        <w:t>开展农户施肥情况调查、肥效试验、田间试验样品检测、效果监测与评价，夯实测土配方施肥基础；结合农村生活污水资源化利用，选择一批乡村整建制推广施肥新技术新产品新机具，打造化肥减量增效“三新”配套升级版，实现“测、配、产、供、施”协调、农机农艺融合、农户用肥成本降低、肥料效益提升等目标。申报</w:t>
      </w:r>
      <w:r>
        <w:rPr>
          <w:rFonts w:hint="eastAsia" w:ascii="仿宋_GB2312" w:hAnsi="仿宋_GB2312" w:eastAsia="仿宋_GB2312" w:cs="仿宋_GB2312"/>
          <w:caps w:val="0"/>
          <w:color w:val="000000"/>
          <w:spacing w:val="0"/>
          <w:kern w:val="0"/>
          <w:sz w:val="32"/>
          <w:szCs w:val="32"/>
        </w:rPr>
        <w:t>项目需确保一经批复即可实施。</w:t>
      </w:r>
    </w:p>
    <w:p>
      <w:pPr>
        <w:keepNext w:val="0"/>
        <w:keepLines w:val="0"/>
        <w:pageBreakBefore w:val="0"/>
        <w:widowControl w:val="0"/>
        <w:tabs>
          <w:tab w:val="left" w:pos="494"/>
          <w:tab w:val="left" w:pos="3570"/>
        </w:tabs>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黑体" w:hAnsi="黑体" w:eastAsia="黑体" w:cs="黑体"/>
          <w:b w:val="0"/>
          <w:bCs/>
          <w:caps w:val="0"/>
          <w:color w:val="000000"/>
          <w:spacing w:val="0"/>
          <w:kern w:val="0"/>
          <w:sz w:val="32"/>
          <w:szCs w:val="32"/>
          <w:lang w:eastAsia="zh-CN"/>
        </w:rPr>
      </w:pPr>
      <w:r>
        <w:rPr>
          <w:rFonts w:hint="eastAsia" w:ascii="黑体" w:hAnsi="黑体" w:eastAsia="黑体" w:cs="黑体"/>
          <w:b w:val="0"/>
          <w:bCs/>
          <w:caps w:val="0"/>
          <w:color w:val="000000"/>
          <w:spacing w:val="0"/>
          <w:kern w:val="0"/>
          <w:sz w:val="32"/>
          <w:szCs w:val="32"/>
          <w:lang w:eastAsia="zh-CN"/>
        </w:rPr>
        <w:t>二、项目建设内容</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楷体_GB2312" w:hAnsi="楷体_GB2312" w:eastAsia="楷体_GB2312" w:cs="楷体_GB2312"/>
          <w:b/>
          <w:bCs/>
          <w:caps w:val="0"/>
          <w:snapToGrid w:val="0"/>
          <w:color w:val="auto"/>
          <w:spacing w:val="0"/>
          <w:kern w:val="0"/>
          <w:sz w:val="32"/>
          <w:szCs w:val="32"/>
          <w:lang w:val="en-US" w:eastAsia="zh-CN"/>
        </w:rPr>
      </w:pPr>
      <w:r>
        <w:rPr>
          <w:rFonts w:hint="eastAsia" w:ascii="楷体_GB2312" w:hAnsi="楷体_GB2312" w:eastAsia="楷体_GB2312" w:cs="楷体_GB2312"/>
          <w:b w:val="0"/>
          <w:bCs w:val="0"/>
          <w:caps w:val="0"/>
          <w:snapToGrid w:val="0"/>
          <w:color w:val="auto"/>
          <w:spacing w:val="0"/>
          <w:kern w:val="0"/>
          <w:sz w:val="32"/>
          <w:szCs w:val="32"/>
          <w:lang w:val="en-US" w:eastAsia="zh-CN"/>
        </w:rPr>
        <w:t>（一）田间试验项目。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1.建设内容。</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rPr>
        <w:t>按照“统筹规划、区域设点、综合试验”的要求，在</w:t>
      </w:r>
      <w:r>
        <w:rPr>
          <w:rFonts w:hint="eastAsia" w:ascii="仿宋_GB2312" w:hAnsi="仿宋_GB2312" w:eastAsia="仿宋_GB2312" w:cs="仿宋_GB2312"/>
          <w:caps w:val="0"/>
          <w:snapToGrid w:val="0"/>
          <w:color w:val="auto"/>
          <w:spacing w:val="0"/>
          <w:kern w:val="0"/>
          <w:sz w:val="32"/>
          <w:szCs w:val="32"/>
          <w:lang w:eastAsia="zh-CN"/>
        </w:rPr>
        <w:t>省内有关</w:t>
      </w:r>
      <w:r>
        <w:rPr>
          <w:rFonts w:hint="eastAsia" w:ascii="仿宋_GB2312" w:hAnsi="仿宋_GB2312" w:eastAsia="仿宋_GB2312" w:cs="仿宋_GB2312"/>
          <w:caps w:val="0"/>
          <w:snapToGrid w:val="0"/>
          <w:color w:val="auto"/>
          <w:spacing w:val="0"/>
          <w:kern w:val="0"/>
          <w:sz w:val="32"/>
          <w:szCs w:val="32"/>
        </w:rPr>
        <w:t>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rPr>
        <w:t>开展田间肥效试验</w:t>
      </w:r>
      <w:r>
        <w:rPr>
          <w:rFonts w:hint="eastAsia" w:ascii="仿宋_GB2312" w:hAnsi="仿宋_GB2312" w:eastAsia="仿宋_GB2312" w:cs="仿宋_GB2312"/>
          <w:caps w:val="0"/>
          <w:snapToGrid w:val="0"/>
          <w:color w:val="auto"/>
          <w:spacing w:val="0"/>
          <w:kern w:val="0"/>
          <w:sz w:val="32"/>
          <w:szCs w:val="32"/>
          <w:lang w:val="en-US" w:eastAsia="zh-CN"/>
        </w:rPr>
        <w:t>。每个县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lang w:val="en-US" w:eastAsia="zh-CN"/>
        </w:rPr>
        <w:t>试验内容包括</w:t>
      </w:r>
      <w:r>
        <w:rPr>
          <w:rFonts w:hint="eastAsia" w:ascii="仿宋_GB2312" w:hAnsi="仿宋_GB2312" w:eastAsia="仿宋_GB2312" w:cs="仿宋_GB2312"/>
          <w:caps w:val="0"/>
          <w:snapToGrid w:val="0"/>
          <w:color w:val="auto"/>
          <w:spacing w:val="0"/>
          <w:kern w:val="0"/>
          <w:sz w:val="32"/>
          <w:szCs w:val="32"/>
        </w:rPr>
        <w:t>水稻肥料利用率试验、经济作物“2+X”田间肥效试验、肥效校正试验、中微量元素单因子肥效试验等</w:t>
      </w:r>
      <w:r>
        <w:rPr>
          <w:rFonts w:hint="eastAsia" w:ascii="仿宋_GB2312" w:hAnsi="仿宋_GB2312" w:eastAsia="仿宋_GB2312" w:cs="仿宋_GB2312"/>
          <w:caps w:val="0"/>
          <w:snapToGrid w:val="0"/>
          <w:color w:val="auto"/>
          <w:spacing w:val="0"/>
          <w:kern w:val="0"/>
          <w:sz w:val="32"/>
          <w:szCs w:val="32"/>
          <w:lang w:val="en-US" w:eastAsia="zh-CN"/>
        </w:rPr>
        <w:t>4项内容，肥料利用率试验约占试验总数的</w:t>
      </w:r>
      <w:r>
        <w:rPr>
          <w:rFonts w:hint="default" w:ascii="仿宋_GB2312" w:hAnsi="仿宋_GB2312" w:eastAsia="仿宋_GB2312" w:cs="仿宋_GB2312"/>
          <w:caps w:val="0"/>
          <w:snapToGrid w:val="0"/>
          <w:color w:val="auto"/>
          <w:spacing w:val="0"/>
          <w:kern w:val="0"/>
          <w:sz w:val="32"/>
          <w:szCs w:val="32"/>
          <w:lang w:val="en" w:eastAsia="zh-CN"/>
        </w:rPr>
        <w:t>3</w:t>
      </w:r>
      <w:r>
        <w:rPr>
          <w:rFonts w:hint="eastAsia" w:ascii="仿宋_GB2312" w:hAnsi="仿宋_GB2312" w:eastAsia="仿宋_GB2312" w:cs="仿宋_GB2312"/>
          <w:caps w:val="0"/>
          <w:snapToGrid w:val="0"/>
          <w:color w:val="auto"/>
          <w:spacing w:val="0"/>
          <w:kern w:val="0"/>
          <w:sz w:val="32"/>
          <w:szCs w:val="32"/>
          <w:lang w:val="en-US" w:eastAsia="zh-CN"/>
        </w:rPr>
        <w:t>0%。</w:t>
      </w:r>
      <w:r>
        <w:rPr>
          <w:rFonts w:hint="eastAsia" w:ascii="仿宋_GB2312" w:hAnsi="仿宋_GB2312" w:eastAsia="仿宋_GB2312" w:cs="仿宋_GB2312"/>
          <w:snapToGrid w:val="0"/>
          <w:color w:val="auto"/>
          <w:kern w:val="0"/>
          <w:sz w:val="32"/>
          <w:szCs w:val="32"/>
          <w:lang w:eastAsia="zh-CN"/>
        </w:rPr>
        <w:t>田间试验有关要求参照《关于印发202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年田间肥效试验方案的通知》（粤农环耕〔202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〕2</w:t>
      </w: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lang w:eastAsia="zh-CN"/>
        </w:rPr>
        <w:t>号）（若申报单位需此文件，请与广东省农业环境与耕地质量保护中心联系，联系电话：020-37288083）。申报单位至少负责</w:t>
      </w:r>
      <w:r>
        <w:rPr>
          <w:rFonts w:hint="eastAsia" w:ascii="仿宋_GB2312" w:hAnsi="仿宋_GB2312" w:eastAsia="仿宋_GB2312" w:cs="仿宋_GB2312"/>
          <w:caps w:val="0"/>
          <w:snapToGrid w:val="0"/>
          <w:color w:val="auto"/>
          <w:spacing w:val="0"/>
          <w:kern w:val="0"/>
          <w:sz w:val="32"/>
          <w:szCs w:val="32"/>
          <w:lang w:val="en-US" w:eastAsia="zh-CN"/>
        </w:rPr>
        <w:t>2个县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lang w:val="en-US" w:eastAsia="zh-CN"/>
        </w:rPr>
        <w:t>所有类型</w:t>
      </w:r>
      <w:r>
        <w:rPr>
          <w:rFonts w:hint="eastAsia" w:ascii="仿宋_GB2312" w:hAnsi="仿宋_GB2312" w:eastAsia="仿宋_GB2312" w:cs="仿宋_GB2312"/>
          <w:caps w:val="0"/>
          <w:snapToGrid w:val="0"/>
          <w:color w:val="auto"/>
          <w:spacing w:val="0"/>
          <w:kern w:val="0"/>
          <w:sz w:val="32"/>
          <w:szCs w:val="32"/>
          <w:lang w:eastAsia="zh-CN"/>
        </w:rPr>
        <w:t>的</w:t>
      </w:r>
      <w:r>
        <w:rPr>
          <w:rFonts w:hint="eastAsia" w:ascii="仿宋_GB2312" w:hAnsi="仿宋_GB2312" w:eastAsia="仿宋_GB2312" w:cs="仿宋_GB2312"/>
          <w:caps w:val="0"/>
          <w:snapToGrid w:val="0"/>
          <w:color w:val="auto"/>
          <w:spacing w:val="0"/>
          <w:kern w:val="0"/>
          <w:sz w:val="32"/>
          <w:szCs w:val="32"/>
        </w:rPr>
        <w:t>试验</w:t>
      </w:r>
      <w:r>
        <w:rPr>
          <w:rFonts w:hint="eastAsia" w:ascii="仿宋_GB2312" w:hAnsi="仿宋_GB2312" w:eastAsia="仿宋_GB2312" w:cs="仿宋_GB2312"/>
          <w:caps w:val="0"/>
          <w:snapToGrid w:val="0"/>
          <w:color w:val="auto"/>
          <w:spacing w:val="0"/>
          <w:kern w:val="0"/>
          <w:sz w:val="32"/>
          <w:szCs w:val="32"/>
          <w:lang w:eastAsia="zh-CN"/>
        </w:rPr>
        <w:t>设计、田间作业</w:t>
      </w:r>
      <w:r>
        <w:rPr>
          <w:rFonts w:hint="eastAsia" w:ascii="仿宋_GB2312" w:hAnsi="仿宋_GB2312" w:eastAsia="仿宋_GB2312" w:cs="仿宋_GB2312"/>
          <w:caps w:val="0"/>
          <w:snapToGrid w:val="0"/>
          <w:color w:val="auto"/>
          <w:spacing w:val="0"/>
          <w:kern w:val="0"/>
          <w:sz w:val="32"/>
          <w:szCs w:val="32"/>
        </w:rPr>
        <w:t>、技术培训、</w:t>
      </w:r>
      <w:r>
        <w:rPr>
          <w:rFonts w:hint="eastAsia" w:ascii="仿宋_GB2312" w:hAnsi="仿宋_GB2312" w:eastAsia="仿宋_GB2312" w:cs="仿宋_GB2312"/>
          <w:caps w:val="0"/>
          <w:snapToGrid w:val="0"/>
          <w:color w:val="auto"/>
          <w:spacing w:val="0"/>
          <w:kern w:val="0"/>
          <w:sz w:val="32"/>
          <w:szCs w:val="32"/>
          <w:lang w:eastAsia="zh-CN"/>
        </w:rPr>
        <w:t>样品采集制备、数据分析整理和</w:t>
      </w:r>
      <w:r>
        <w:rPr>
          <w:rFonts w:hint="eastAsia" w:ascii="仿宋_GB2312" w:hAnsi="仿宋_GB2312" w:eastAsia="仿宋_GB2312" w:cs="仿宋_GB2312"/>
          <w:caps w:val="0"/>
          <w:snapToGrid w:val="0"/>
          <w:color w:val="auto"/>
          <w:spacing w:val="0"/>
          <w:kern w:val="0"/>
          <w:sz w:val="32"/>
          <w:szCs w:val="32"/>
        </w:rPr>
        <w:t>报告撰写</w:t>
      </w:r>
      <w:r>
        <w:rPr>
          <w:rFonts w:hint="eastAsia" w:ascii="仿宋_GB2312" w:hAnsi="仿宋_GB2312" w:eastAsia="仿宋_GB2312" w:cs="仿宋_GB2312"/>
          <w:caps w:val="0"/>
          <w:snapToGrid w:val="0"/>
          <w:color w:val="auto"/>
          <w:spacing w:val="0"/>
          <w:kern w:val="0"/>
          <w:sz w:val="32"/>
          <w:szCs w:val="32"/>
          <w:lang w:eastAsia="zh-CN"/>
        </w:rPr>
        <w:t>等</w:t>
      </w:r>
      <w:r>
        <w:rPr>
          <w:rFonts w:hint="eastAsia" w:ascii="仿宋_GB2312" w:hAnsi="仿宋_GB2312" w:eastAsia="仿宋_GB2312" w:cs="仿宋_GB2312"/>
          <w:snapToGrid w:val="0"/>
          <w:color w:val="auto"/>
          <w:kern w:val="0"/>
          <w:sz w:val="32"/>
          <w:szCs w:val="32"/>
          <w:lang w:eastAsia="zh-CN"/>
        </w:rPr>
        <w:t>，并指导化肥减量增效“三新”集成推进县开展氮肥定额限量示范。</w:t>
      </w:r>
      <w:r>
        <w:rPr>
          <w:rFonts w:hint="eastAsia" w:ascii="仿宋_GB2312" w:hAnsi="仿宋_GB2312" w:eastAsia="仿宋_GB2312" w:cs="仿宋_GB2312"/>
          <w:snapToGrid w:val="0"/>
          <w:color w:val="auto"/>
          <w:kern w:val="0"/>
          <w:sz w:val="32"/>
          <w:szCs w:val="32"/>
          <w:lang w:val="en-US" w:eastAsia="zh-CN"/>
        </w:rPr>
        <w:t>各</w:t>
      </w:r>
      <w:r>
        <w:rPr>
          <w:rFonts w:hint="eastAsia" w:ascii="仿宋_GB2312" w:hAnsi="仿宋_GB2312" w:eastAsia="仿宋_GB2312" w:cs="仿宋_GB2312"/>
          <w:snapToGrid w:val="0"/>
          <w:color w:val="auto"/>
          <w:kern w:val="0"/>
          <w:sz w:val="32"/>
          <w:szCs w:val="32"/>
          <w:lang w:eastAsia="zh-CN"/>
        </w:rPr>
        <w:t>单位承担的田间试验</w:t>
      </w:r>
      <w:r>
        <w:rPr>
          <w:rFonts w:hint="eastAsia" w:ascii="仿宋_GB2312" w:hAnsi="仿宋_GB2312" w:eastAsia="仿宋_GB2312" w:cs="仿宋_GB2312"/>
          <w:snapToGrid w:val="0"/>
          <w:color w:val="auto"/>
          <w:kern w:val="0"/>
          <w:sz w:val="32"/>
          <w:szCs w:val="32"/>
          <w:lang w:val="en-US" w:eastAsia="zh-CN"/>
        </w:rPr>
        <w:t>数量和类别</w:t>
      </w:r>
      <w:r>
        <w:rPr>
          <w:rFonts w:hint="eastAsia" w:ascii="仿宋_GB2312" w:hAnsi="仿宋_GB2312" w:eastAsia="仿宋_GB2312" w:cs="仿宋_GB2312"/>
          <w:snapToGrid w:val="0"/>
          <w:color w:val="auto"/>
          <w:kern w:val="0"/>
          <w:sz w:val="32"/>
          <w:szCs w:val="32"/>
          <w:lang w:eastAsia="zh-CN"/>
        </w:rPr>
        <w:t>情况</w:t>
      </w:r>
      <w:r>
        <w:rPr>
          <w:rFonts w:hint="eastAsia" w:ascii="仿宋_GB2312" w:hAnsi="仿宋_GB2312" w:eastAsia="仿宋_GB2312" w:cs="仿宋_GB2312"/>
          <w:snapToGrid w:val="0"/>
          <w:color w:val="auto"/>
          <w:kern w:val="0"/>
          <w:sz w:val="32"/>
          <w:szCs w:val="32"/>
          <w:lang w:val="en-US" w:eastAsia="zh-CN"/>
        </w:rPr>
        <w:t>最终根据专家评审结果和近年来的工作完成情况进行分配。</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全省完成农作物田间肥效试验260个。申报单位需在2024年12月底前基本完成田间试验，在2025年2月提交田间试验报告。田间试验数量必须达到要求，试验设计符合业内规范、试验结果准确可靠。申报单位需根据当地田间肥效试验结果，确定农作物推荐施肥用量，并联合当地农业农村部门在政府网站发布主要农作物科学施肥指导意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caps w:val="0"/>
          <w:snapToGrid w:val="0"/>
          <w:color w:val="auto"/>
          <w:spacing w:val="0"/>
          <w:kern w:val="0"/>
          <w:sz w:val="32"/>
          <w:szCs w:val="32"/>
          <w:lang w:eastAsia="zh-CN"/>
        </w:rPr>
        <w:t>田间试验</w:t>
      </w:r>
      <w:r>
        <w:rPr>
          <w:rFonts w:hint="eastAsia" w:ascii="仿宋_GB2312" w:hAnsi="仿宋_GB2312" w:eastAsia="仿宋_GB2312" w:cs="仿宋_GB2312"/>
          <w:caps w:val="0"/>
          <w:snapToGrid w:val="0"/>
          <w:color w:val="auto"/>
          <w:spacing w:val="0"/>
          <w:kern w:val="0"/>
          <w:sz w:val="32"/>
          <w:szCs w:val="32"/>
        </w:rPr>
        <w:t>由</w:t>
      </w:r>
      <w:r>
        <w:rPr>
          <w:rFonts w:hint="eastAsia" w:ascii="仿宋_GB2312" w:hAnsi="仿宋_GB2312" w:eastAsia="仿宋_GB2312" w:cs="仿宋_GB2312"/>
          <w:caps w:val="0"/>
          <w:snapToGrid w:val="0"/>
          <w:color w:val="auto"/>
          <w:spacing w:val="0"/>
          <w:kern w:val="0"/>
          <w:sz w:val="32"/>
          <w:szCs w:val="32"/>
          <w:lang w:eastAsia="zh-CN"/>
        </w:rPr>
        <w:t>教学或</w:t>
      </w:r>
      <w:r>
        <w:rPr>
          <w:rFonts w:hint="eastAsia" w:ascii="仿宋_GB2312" w:hAnsi="仿宋_GB2312" w:eastAsia="仿宋_GB2312" w:cs="仿宋_GB2312"/>
          <w:caps w:val="0"/>
          <w:snapToGrid w:val="0"/>
          <w:color w:val="auto"/>
          <w:spacing w:val="0"/>
          <w:kern w:val="0"/>
          <w:sz w:val="32"/>
          <w:szCs w:val="32"/>
        </w:rPr>
        <w:t>科研单位申报。申报</w:t>
      </w:r>
      <w:r>
        <w:rPr>
          <w:rFonts w:hint="eastAsia" w:ascii="仿宋_GB2312" w:hAnsi="仿宋_GB2312" w:eastAsia="仿宋_GB2312" w:cs="仿宋_GB2312"/>
          <w:caps w:val="0"/>
          <w:snapToGrid w:val="0"/>
          <w:color w:val="auto"/>
          <w:spacing w:val="0"/>
          <w:kern w:val="0"/>
          <w:sz w:val="32"/>
          <w:szCs w:val="32"/>
          <w:lang w:eastAsia="zh-CN"/>
        </w:rPr>
        <w:t>单位</w:t>
      </w:r>
      <w:r>
        <w:rPr>
          <w:rFonts w:hint="eastAsia" w:ascii="仿宋_GB2312" w:hAnsi="仿宋_GB2312" w:eastAsia="仿宋_GB2312" w:cs="仿宋_GB2312"/>
          <w:caps w:val="0"/>
          <w:snapToGrid w:val="0"/>
          <w:color w:val="auto"/>
          <w:spacing w:val="0"/>
          <w:kern w:val="0"/>
          <w:sz w:val="32"/>
          <w:szCs w:val="32"/>
        </w:rPr>
        <w:t>需要具备如下条件：</w:t>
      </w:r>
      <w:r>
        <w:rPr>
          <w:rFonts w:hint="eastAsia" w:ascii="仿宋_GB2312" w:hAnsi="仿宋_GB2312" w:eastAsia="仿宋_GB2312" w:cs="仿宋_GB2312"/>
          <w:caps w:val="0"/>
          <w:snapToGrid w:val="0"/>
          <w:color w:val="auto"/>
          <w:spacing w:val="0"/>
          <w:kern w:val="0"/>
          <w:sz w:val="32"/>
          <w:szCs w:val="32"/>
          <w:lang w:eastAsia="zh-CN"/>
        </w:rPr>
        <w:t>①</w:t>
      </w:r>
      <w:r>
        <w:rPr>
          <w:rFonts w:hint="eastAsia" w:ascii="仿宋_GB2312" w:hAnsi="仿宋_GB2312" w:eastAsia="仿宋_GB2312" w:cs="仿宋_GB2312"/>
          <w:caps w:val="0"/>
          <w:snapToGrid w:val="0"/>
          <w:color w:val="auto"/>
          <w:spacing w:val="0"/>
          <w:kern w:val="0"/>
          <w:sz w:val="32"/>
          <w:szCs w:val="32"/>
        </w:rPr>
        <w:t>技术团队人员不少于</w:t>
      </w:r>
      <w:r>
        <w:rPr>
          <w:rFonts w:hint="eastAsia" w:ascii="仿宋_GB2312" w:hAnsi="仿宋_GB2312" w:eastAsia="仿宋_GB2312" w:cs="仿宋_GB2312"/>
          <w:caps w:val="0"/>
          <w:snapToGrid w:val="0"/>
          <w:color w:val="auto"/>
          <w:spacing w:val="0"/>
          <w:kern w:val="0"/>
          <w:sz w:val="32"/>
          <w:szCs w:val="32"/>
          <w:lang w:val="en-US" w:eastAsia="zh-CN"/>
        </w:rPr>
        <w:t>10</w:t>
      </w:r>
      <w:r>
        <w:rPr>
          <w:rFonts w:hint="eastAsia" w:ascii="仿宋_GB2312" w:hAnsi="仿宋_GB2312" w:eastAsia="仿宋_GB2312" w:cs="仿宋_GB2312"/>
          <w:caps w:val="0"/>
          <w:snapToGrid w:val="0"/>
          <w:color w:val="auto"/>
          <w:spacing w:val="0"/>
          <w:kern w:val="0"/>
          <w:sz w:val="32"/>
          <w:szCs w:val="32"/>
        </w:rPr>
        <w:t>人，具有从事土壤肥料田间试验的工作经历，团队负责人必须具有土壤肥料或作物营养与施肥等相关专业高级职称，土壤或植物营养专业毕业者优先；</w:t>
      </w:r>
      <w:r>
        <w:rPr>
          <w:rFonts w:hint="eastAsia" w:ascii="仿宋_GB2312" w:hAnsi="仿宋_GB2312" w:eastAsia="仿宋_GB2312" w:cs="仿宋_GB2312"/>
          <w:caps w:val="0"/>
          <w:snapToGrid w:val="0"/>
          <w:color w:val="auto"/>
          <w:spacing w:val="0"/>
          <w:kern w:val="0"/>
          <w:sz w:val="32"/>
          <w:szCs w:val="32"/>
          <w:lang w:eastAsia="zh-CN"/>
        </w:rPr>
        <w:t>②</w:t>
      </w:r>
      <w:r>
        <w:rPr>
          <w:rFonts w:hint="eastAsia" w:ascii="仿宋_GB2312" w:hAnsi="仿宋_GB2312" w:eastAsia="仿宋_GB2312" w:cs="仿宋_GB2312"/>
          <w:caps w:val="0"/>
          <w:snapToGrid w:val="0"/>
          <w:color w:val="auto"/>
          <w:spacing w:val="0"/>
          <w:kern w:val="0"/>
          <w:sz w:val="32"/>
          <w:szCs w:val="32"/>
        </w:rPr>
        <w:t>技术人员</w:t>
      </w:r>
      <w:r>
        <w:rPr>
          <w:rFonts w:hint="eastAsia" w:ascii="仿宋_GB2312" w:hAnsi="仿宋_GB2312" w:eastAsia="仿宋_GB2312" w:cs="仿宋_GB2312"/>
          <w:caps w:val="0"/>
          <w:snapToGrid w:val="0"/>
          <w:color w:val="auto"/>
          <w:spacing w:val="0"/>
          <w:kern w:val="0"/>
          <w:sz w:val="32"/>
          <w:szCs w:val="32"/>
          <w:lang w:eastAsia="zh-CN"/>
        </w:rPr>
        <w:t>必须</w:t>
      </w:r>
      <w:r>
        <w:rPr>
          <w:rFonts w:hint="eastAsia" w:ascii="仿宋_GB2312" w:hAnsi="仿宋_GB2312" w:eastAsia="仿宋_GB2312" w:cs="仿宋_GB2312"/>
          <w:caps w:val="0"/>
          <w:snapToGrid w:val="0"/>
          <w:color w:val="auto"/>
          <w:spacing w:val="0"/>
          <w:kern w:val="0"/>
          <w:sz w:val="32"/>
          <w:szCs w:val="32"/>
        </w:rPr>
        <w:t>熟悉</w:t>
      </w:r>
      <w:r>
        <w:rPr>
          <w:rFonts w:hint="eastAsia" w:ascii="仿宋_GB2312" w:hAnsi="仿宋_GB2312" w:eastAsia="仿宋_GB2312" w:cs="仿宋_GB2312"/>
          <w:caps w:val="0"/>
          <w:snapToGrid w:val="0"/>
          <w:color w:val="auto"/>
          <w:spacing w:val="0"/>
          <w:kern w:val="0"/>
          <w:sz w:val="32"/>
          <w:szCs w:val="32"/>
          <w:lang w:eastAsia="zh-CN"/>
        </w:rPr>
        <w:t>《测土配方施肥技术规程》（NYT 2911-2016），熟练掌握</w:t>
      </w:r>
      <w:r>
        <w:rPr>
          <w:rFonts w:hint="eastAsia" w:ascii="仿宋_GB2312" w:hAnsi="仿宋_GB2312" w:eastAsia="仿宋_GB2312" w:cs="仿宋_GB2312"/>
          <w:caps w:val="0"/>
          <w:snapToGrid w:val="0"/>
          <w:color w:val="auto"/>
          <w:spacing w:val="0"/>
          <w:kern w:val="0"/>
          <w:sz w:val="32"/>
          <w:szCs w:val="32"/>
        </w:rPr>
        <w:t>田间试验工作</w:t>
      </w:r>
      <w:r>
        <w:rPr>
          <w:rFonts w:hint="eastAsia" w:ascii="仿宋_GB2312" w:hAnsi="仿宋_GB2312" w:eastAsia="仿宋_GB2312" w:cs="仿宋_GB2312"/>
          <w:caps w:val="0"/>
          <w:snapToGrid w:val="0"/>
          <w:color w:val="auto"/>
          <w:spacing w:val="0"/>
          <w:kern w:val="0"/>
          <w:sz w:val="32"/>
          <w:szCs w:val="32"/>
          <w:lang w:eastAsia="zh-CN"/>
        </w:rPr>
        <w:t>标准、要求和</w:t>
      </w:r>
      <w:r>
        <w:rPr>
          <w:rFonts w:hint="eastAsia" w:ascii="仿宋_GB2312" w:hAnsi="仿宋_GB2312" w:eastAsia="仿宋_GB2312" w:cs="仿宋_GB2312"/>
          <w:caps w:val="0"/>
          <w:snapToGrid w:val="0"/>
          <w:color w:val="auto"/>
          <w:spacing w:val="0"/>
          <w:kern w:val="0"/>
          <w:sz w:val="32"/>
          <w:szCs w:val="32"/>
        </w:rPr>
        <w:t>流程</w:t>
      </w:r>
      <w:r>
        <w:rPr>
          <w:rFonts w:hint="eastAsia" w:ascii="仿宋_GB2312" w:hAnsi="仿宋_GB2312" w:eastAsia="仿宋_GB2312" w:cs="仿宋_GB2312"/>
          <w:caps w:val="0"/>
          <w:snapToGrid w:val="0"/>
          <w:color w:val="auto"/>
          <w:spacing w:val="0"/>
          <w:kern w:val="0"/>
          <w:sz w:val="32"/>
          <w:szCs w:val="32"/>
          <w:lang w:eastAsia="zh-CN"/>
        </w:rPr>
        <w:t>；③</w:t>
      </w:r>
      <w:r>
        <w:rPr>
          <w:rFonts w:hint="eastAsia" w:ascii="仿宋_GB2312" w:hAnsi="仿宋_GB2312" w:eastAsia="仿宋_GB2312" w:cs="仿宋_GB2312"/>
          <w:caps w:val="0"/>
          <w:snapToGrid w:val="0"/>
          <w:color w:val="auto"/>
          <w:spacing w:val="0"/>
          <w:kern w:val="0"/>
          <w:sz w:val="32"/>
          <w:szCs w:val="32"/>
        </w:rPr>
        <w:t>承担过测土配方施肥项目的田间试验和技术推广工作，能妥善解决</w:t>
      </w:r>
      <w:r>
        <w:rPr>
          <w:rFonts w:hint="eastAsia" w:ascii="仿宋_GB2312" w:hAnsi="仿宋_GB2312" w:eastAsia="仿宋_GB2312" w:cs="仿宋_GB2312"/>
          <w:caps w:val="0"/>
          <w:snapToGrid w:val="0"/>
          <w:color w:val="auto"/>
          <w:spacing w:val="0"/>
          <w:kern w:val="0"/>
          <w:sz w:val="32"/>
          <w:szCs w:val="32"/>
          <w:lang w:eastAsia="zh-CN"/>
        </w:rPr>
        <w:t>田间</w:t>
      </w:r>
      <w:r>
        <w:rPr>
          <w:rFonts w:hint="eastAsia" w:ascii="仿宋_GB2312" w:hAnsi="仿宋_GB2312" w:eastAsia="仿宋_GB2312" w:cs="仿宋_GB2312"/>
          <w:caps w:val="0"/>
          <w:snapToGrid w:val="0"/>
          <w:color w:val="auto"/>
          <w:spacing w:val="0"/>
          <w:kern w:val="0"/>
          <w:sz w:val="32"/>
          <w:szCs w:val="32"/>
        </w:rPr>
        <w:t>试验相关问题</w:t>
      </w:r>
      <w:r>
        <w:rPr>
          <w:rFonts w:hint="eastAsia" w:ascii="仿宋_GB2312" w:hAnsi="仿宋_GB2312" w:eastAsia="仿宋_GB2312" w:cs="仿宋_GB2312"/>
          <w:caps w:val="0"/>
          <w:snapToGrid w:val="0"/>
          <w:color w:val="auto"/>
          <w:spacing w:val="0"/>
          <w:kern w:val="0"/>
          <w:sz w:val="32"/>
          <w:szCs w:val="32"/>
          <w:lang w:eastAsia="zh-CN"/>
        </w:rPr>
        <w:t>的优先；④同一单位申报团队数不能超过2个，团队成员不可以重叠。</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4.项目资金额度。</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590" w:lineRule="exact"/>
        <w:ind w:right="0" w:rightChars="0" w:firstLine="618" w:firstLineChars="200"/>
        <w:jc w:val="both"/>
        <w:rPr>
          <w:rFonts w:hint="eastAsia" w:ascii="仿宋_GB2312" w:hAnsi="仿宋_GB2312" w:eastAsia="仿宋_GB2312" w:cs="仿宋_GB2312"/>
          <w:caps w:val="0"/>
          <w:snapToGrid w:val="0"/>
          <w:color w:val="000000"/>
          <w:spacing w:val="0"/>
          <w:kern w:val="0"/>
          <w:sz w:val="32"/>
          <w:szCs w:val="32"/>
          <w:lang w:val="en-US" w:eastAsia="zh-CN"/>
        </w:rPr>
      </w:pPr>
      <w:r>
        <w:rPr>
          <w:rFonts w:hint="eastAsia" w:ascii="仿宋_GB2312" w:hAnsi="仿宋_GB2312" w:eastAsia="仿宋_GB2312" w:cs="仿宋_GB2312"/>
          <w:caps w:val="0"/>
          <w:snapToGrid w:val="0"/>
          <w:color w:val="000000"/>
          <w:spacing w:val="0"/>
          <w:kern w:val="0"/>
          <w:sz w:val="32"/>
          <w:szCs w:val="32"/>
          <w:lang w:val="en-US" w:eastAsia="zh-CN"/>
        </w:rPr>
        <w:t>全省完成农作物田间肥效试验260个，资金432万元。其中，水稻肥料利用率</w:t>
      </w:r>
      <w:r>
        <w:rPr>
          <w:rFonts w:hint="eastAsia" w:ascii="仿宋_GB2312" w:hAnsi="仿宋_GB2312" w:eastAsia="仿宋_GB2312" w:cs="仿宋_GB2312"/>
          <w:caps w:val="0"/>
          <w:snapToGrid w:val="0"/>
          <w:color w:val="000000"/>
          <w:spacing w:val="0"/>
          <w:kern w:val="0"/>
          <w:sz w:val="32"/>
          <w:szCs w:val="32"/>
          <w:lang w:eastAsia="zh-CN"/>
        </w:rPr>
        <w:t>试验</w:t>
      </w:r>
      <w:r>
        <w:rPr>
          <w:rFonts w:hint="eastAsia" w:ascii="仿宋_GB2312" w:hAnsi="仿宋_GB2312" w:eastAsia="仿宋_GB2312" w:cs="仿宋_GB2312"/>
          <w:caps w:val="0"/>
          <w:snapToGrid w:val="0"/>
          <w:color w:val="000000"/>
          <w:spacing w:val="0"/>
          <w:kern w:val="0"/>
          <w:sz w:val="32"/>
          <w:szCs w:val="32"/>
          <w:lang w:val="en-US" w:eastAsia="zh-CN"/>
        </w:rPr>
        <w:t>80个，每个试验1.80万元；其他肥效试验180个，每个试验1.6万元。</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590" w:lineRule="exact"/>
        <w:ind w:right="0" w:rightChars="0" w:firstLine="618" w:firstLineChars="200"/>
        <w:jc w:val="both"/>
        <w:rPr>
          <w:rFonts w:hint="eastAsia" w:ascii="仿宋_GB2312" w:hAnsi="仿宋_GB2312" w:eastAsia="仿宋_GB2312" w:cs="仿宋_GB2312"/>
          <w:caps w:val="0"/>
          <w:snapToGrid w:val="0"/>
          <w:color w:val="000000"/>
          <w:spacing w:val="0"/>
          <w:kern w:val="0"/>
          <w:sz w:val="32"/>
          <w:szCs w:val="32"/>
        </w:rPr>
      </w:pPr>
      <w:r>
        <w:rPr>
          <w:rFonts w:hint="eastAsia" w:ascii="仿宋_GB2312" w:hAnsi="仿宋_GB2312" w:eastAsia="仿宋_GB2312" w:cs="仿宋_GB2312"/>
          <w:caps w:val="0"/>
          <w:snapToGrid w:val="0"/>
          <w:color w:val="000000"/>
          <w:spacing w:val="0"/>
          <w:kern w:val="0"/>
          <w:sz w:val="32"/>
          <w:szCs w:val="32"/>
          <w:lang w:val="en-US" w:eastAsia="zh-CN"/>
        </w:rPr>
        <w:t>拟选择5个单位（团队）实施本项目</w:t>
      </w:r>
      <w:r>
        <w:rPr>
          <w:rFonts w:hint="eastAsia" w:ascii="仿宋_GB2312" w:hAnsi="仿宋_GB2312" w:eastAsia="仿宋_GB2312" w:cs="仿宋_GB2312"/>
          <w:caps w:val="0"/>
          <w:snapToGrid w:val="0"/>
          <w:color w:val="000000"/>
          <w:spacing w:val="0"/>
          <w:kern w:val="0"/>
          <w:sz w:val="32"/>
          <w:szCs w:val="32"/>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楷体_GB2312" w:hAnsi="楷体_GB2312" w:eastAsia="楷体_GB2312" w:cs="楷体_GB2312"/>
          <w:b w:val="0"/>
          <w:bCs w:val="0"/>
          <w:caps w:val="0"/>
          <w:snapToGrid w:val="0"/>
          <w:color w:val="auto"/>
          <w:spacing w:val="0"/>
          <w:kern w:val="0"/>
          <w:sz w:val="32"/>
          <w:szCs w:val="32"/>
        </w:rPr>
      </w:pPr>
      <w:r>
        <w:rPr>
          <w:rFonts w:hint="eastAsia" w:ascii="楷体_GB2312" w:hAnsi="楷体_GB2312" w:eastAsia="楷体_GB2312" w:cs="楷体_GB2312"/>
          <w:b w:val="0"/>
          <w:bCs w:val="0"/>
          <w:caps w:val="0"/>
          <w:snapToGrid w:val="0"/>
          <w:color w:val="auto"/>
          <w:spacing w:val="0"/>
          <w:kern w:val="0"/>
          <w:sz w:val="32"/>
          <w:szCs w:val="32"/>
          <w:lang w:val="en-US" w:eastAsia="zh-CN"/>
        </w:rPr>
        <w:t>（二）</w:t>
      </w:r>
      <w:r>
        <w:rPr>
          <w:rFonts w:hint="eastAsia" w:ascii="楷体_GB2312" w:hAnsi="楷体_GB2312" w:eastAsia="楷体_GB2312" w:cs="楷体_GB2312"/>
          <w:b w:val="0"/>
          <w:bCs w:val="0"/>
          <w:caps w:val="0"/>
          <w:snapToGrid w:val="0"/>
          <w:color w:val="auto"/>
          <w:spacing w:val="0"/>
          <w:kern w:val="0"/>
          <w:sz w:val="32"/>
          <w:szCs w:val="32"/>
          <w:lang w:eastAsia="zh-CN"/>
        </w:rPr>
        <w:t>田间试验样品检测项目。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val="en-US" w:eastAsia="zh-CN"/>
        </w:rPr>
        <w:t>1.建设内容</w:t>
      </w:r>
      <w:r>
        <w:rPr>
          <w:rFonts w:hint="eastAsia" w:ascii="仿宋_GB2312" w:hAnsi="仿宋_GB2312" w:eastAsia="仿宋_GB2312" w:cs="仿宋_GB2312"/>
          <w:caps w:val="0"/>
          <w:snapToGrid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按照《</w:t>
      </w:r>
      <w:r>
        <w:rPr>
          <w:rFonts w:hint="eastAsia" w:ascii="仿宋_GB2312" w:hAnsi="仿宋_GB2312" w:eastAsia="仿宋_GB2312" w:cs="仿宋_GB2312"/>
          <w:caps w:val="0"/>
          <w:snapToGrid w:val="0"/>
          <w:color w:val="auto"/>
          <w:spacing w:val="0"/>
          <w:kern w:val="0"/>
          <w:sz w:val="32"/>
          <w:szCs w:val="32"/>
        </w:rPr>
        <w:t>测土配方施肥技术</w:t>
      </w:r>
      <w:r>
        <w:rPr>
          <w:rFonts w:hint="eastAsia" w:ascii="仿宋_GB2312" w:hAnsi="仿宋_GB2312" w:eastAsia="仿宋_GB2312" w:cs="仿宋_GB2312"/>
          <w:caps w:val="0"/>
          <w:snapToGrid w:val="0"/>
          <w:color w:val="auto"/>
          <w:spacing w:val="0"/>
          <w:kern w:val="0"/>
          <w:sz w:val="32"/>
          <w:szCs w:val="32"/>
          <w:lang w:eastAsia="zh-CN"/>
        </w:rPr>
        <w:t>规程》规定的方法，</w:t>
      </w:r>
      <w:r>
        <w:rPr>
          <w:rFonts w:hint="eastAsia" w:ascii="仿宋_GB2312" w:hAnsi="仿宋_GB2312" w:eastAsia="仿宋_GB2312" w:cs="仿宋_GB2312"/>
          <w:caps w:val="0"/>
          <w:snapToGrid w:val="0"/>
          <w:color w:val="auto"/>
          <w:spacing w:val="0"/>
          <w:kern w:val="0"/>
          <w:sz w:val="32"/>
          <w:szCs w:val="32"/>
        </w:rPr>
        <w:t>对</w:t>
      </w:r>
      <w:r>
        <w:rPr>
          <w:rFonts w:hint="eastAsia" w:ascii="仿宋_GB2312" w:hAnsi="仿宋_GB2312" w:eastAsia="仿宋_GB2312" w:cs="仿宋_GB2312"/>
          <w:caps w:val="0"/>
          <w:snapToGrid w:val="0"/>
          <w:color w:val="auto"/>
          <w:spacing w:val="0"/>
          <w:kern w:val="0"/>
          <w:sz w:val="32"/>
          <w:szCs w:val="32"/>
          <w:lang w:eastAsia="zh-CN"/>
        </w:rPr>
        <w:t>全省田间肥效试验采集</w:t>
      </w:r>
      <w:r>
        <w:rPr>
          <w:rFonts w:hint="eastAsia" w:ascii="仿宋_GB2312" w:hAnsi="仿宋_GB2312" w:eastAsia="仿宋_GB2312" w:cs="仿宋_GB2312"/>
          <w:caps w:val="0"/>
          <w:snapToGrid w:val="0"/>
          <w:color w:val="auto"/>
          <w:spacing w:val="0"/>
          <w:kern w:val="0"/>
          <w:sz w:val="32"/>
          <w:szCs w:val="32"/>
        </w:rPr>
        <w:t>的土壤</w:t>
      </w:r>
      <w:r>
        <w:rPr>
          <w:rFonts w:hint="eastAsia" w:ascii="仿宋_GB2312" w:hAnsi="仿宋_GB2312" w:eastAsia="仿宋_GB2312" w:cs="仿宋_GB2312"/>
          <w:caps w:val="0"/>
          <w:snapToGrid w:val="0"/>
          <w:color w:val="auto"/>
          <w:spacing w:val="0"/>
          <w:kern w:val="0"/>
          <w:sz w:val="32"/>
          <w:szCs w:val="32"/>
          <w:lang w:eastAsia="zh-CN"/>
        </w:rPr>
        <w:t>样品和植株</w:t>
      </w:r>
      <w:r>
        <w:rPr>
          <w:rFonts w:hint="eastAsia" w:ascii="仿宋_GB2312" w:hAnsi="仿宋_GB2312" w:eastAsia="仿宋_GB2312" w:cs="仿宋_GB2312"/>
          <w:caps w:val="0"/>
          <w:snapToGrid w:val="0"/>
          <w:color w:val="auto"/>
          <w:spacing w:val="0"/>
          <w:kern w:val="0"/>
          <w:sz w:val="32"/>
          <w:szCs w:val="32"/>
        </w:rPr>
        <w:t>样品进行</w:t>
      </w:r>
      <w:r>
        <w:rPr>
          <w:rFonts w:hint="eastAsia" w:ascii="仿宋_GB2312" w:hAnsi="仿宋_GB2312" w:eastAsia="仿宋_GB2312" w:cs="仿宋_GB2312"/>
          <w:caps w:val="0"/>
          <w:snapToGrid w:val="0"/>
          <w:color w:val="auto"/>
          <w:spacing w:val="0"/>
          <w:kern w:val="0"/>
          <w:sz w:val="32"/>
          <w:szCs w:val="32"/>
          <w:lang w:eastAsia="zh-CN"/>
        </w:rPr>
        <w:t>统一</w:t>
      </w:r>
      <w:r>
        <w:rPr>
          <w:rFonts w:hint="eastAsia" w:ascii="仿宋_GB2312" w:hAnsi="仿宋_GB2312" w:eastAsia="仿宋_GB2312" w:cs="仿宋_GB2312"/>
          <w:caps w:val="0"/>
          <w:snapToGrid w:val="0"/>
          <w:color w:val="auto"/>
          <w:spacing w:val="0"/>
          <w:kern w:val="0"/>
          <w:sz w:val="32"/>
          <w:szCs w:val="32"/>
        </w:rPr>
        <w:t>检测。</w:t>
      </w:r>
      <w:r>
        <w:rPr>
          <w:rFonts w:hint="eastAsia" w:ascii="仿宋_GB2312" w:hAnsi="仿宋_GB2312" w:eastAsia="仿宋_GB2312" w:cs="仿宋_GB2312"/>
          <w:caps w:val="0"/>
          <w:snapToGrid w:val="0"/>
          <w:color w:val="auto"/>
          <w:spacing w:val="0"/>
          <w:kern w:val="0"/>
          <w:sz w:val="32"/>
          <w:szCs w:val="32"/>
          <w:lang w:eastAsia="zh-CN"/>
        </w:rPr>
        <w:t>土壤样品检测项目为有机质、全氮、碱解氮、有效磷、速效钾、pH等六项次，其中10%-20%的样品需要测定交换性镁和有效锌；植株样品检测项目为全氮、全磷、全钾，其中10%-20%的样品需要测定可溶性糖和维生素C。</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完成土壤样品检测260个、植株样品检测2700个。项目承担主体在收到土壤样品、植株样品后的</w:t>
      </w:r>
      <w:r>
        <w:rPr>
          <w:rFonts w:hint="eastAsia" w:ascii="仿宋_GB2312" w:hAnsi="仿宋_GB2312" w:eastAsia="仿宋_GB2312" w:cs="仿宋_GB2312"/>
          <w:caps w:val="0"/>
          <w:snapToGrid w:val="0"/>
          <w:color w:val="auto"/>
          <w:spacing w:val="0"/>
          <w:kern w:val="0"/>
          <w:sz w:val="32"/>
          <w:szCs w:val="32"/>
          <w:lang w:val="en-US" w:eastAsia="zh-CN"/>
        </w:rPr>
        <w:t>1</w:t>
      </w:r>
      <w:r>
        <w:rPr>
          <w:rFonts w:hint="eastAsia" w:ascii="仿宋_GB2312" w:hAnsi="仿宋_GB2312" w:eastAsia="仿宋_GB2312" w:cs="仿宋_GB2312"/>
          <w:caps w:val="0"/>
          <w:snapToGrid w:val="0"/>
          <w:color w:val="auto"/>
          <w:spacing w:val="0"/>
          <w:kern w:val="0"/>
          <w:sz w:val="32"/>
          <w:szCs w:val="32"/>
          <w:lang w:eastAsia="zh-CN"/>
        </w:rPr>
        <w:t>个</w:t>
      </w:r>
      <w:r>
        <w:rPr>
          <w:rFonts w:hint="eastAsia" w:ascii="仿宋_GB2312" w:hAnsi="仿宋_GB2312" w:eastAsia="仿宋_GB2312" w:cs="仿宋_GB2312"/>
          <w:caps w:val="0"/>
          <w:snapToGrid w:val="0"/>
          <w:color w:val="auto"/>
          <w:spacing w:val="0"/>
          <w:kern w:val="0"/>
          <w:sz w:val="32"/>
          <w:szCs w:val="32"/>
        </w:rPr>
        <w:t>月</w:t>
      </w:r>
      <w:r>
        <w:rPr>
          <w:rFonts w:hint="eastAsia" w:ascii="仿宋_GB2312" w:hAnsi="仿宋_GB2312" w:eastAsia="仿宋_GB2312" w:cs="仿宋_GB2312"/>
          <w:caps w:val="0"/>
          <w:snapToGrid w:val="0"/>
          <w:color w:val="auto"/>
          <w:spacing w:val="0"/>
          <w:kern w:val="0"/>
          <w:sz w:val="32"/>
          <w:szCs w:val="32"/>
          <w:lang w:eastAsia="zh-CN"/>
        </w:rPr>
        <w:t>内，</w:t>
      </w:r>
      <w:r>
        <w:rPr>
          <w:rFonts w:hint="eastAsia" w:ascii="仿宋_GB2312" w:hAnsi="仿宋_GB2312" w:eastAsia="仿宋_GB2312" w:cs="仿宋_GB2312"/>
          <w:caps w:val="0"/>
          <w:snapToGrid w:val="0"/>
          <w:color w:val="auto"/>
          <w:spacing w:val="0"/>
          <w:kern w:val="0"/>
          <w:sz w:val="32"/>
          <w:szCs w:val="32"/>
          <w:lang w:val="zh-CN"/>
        </w:rPr>
        <w:t>完成</w:t>
      </w:r>
      <w:r>
        <w:rPr>
          <w:rFonts w:hint="eastAsia" w:ascii="仿宋_GB2312" w:hAnsi="仿宋_GB2312" w:eastAsia="仿宋_GB2312" w:cs="仿宋_GB2312"/>
          <w:caps w:val="0"/>
          <w:snapToGrid w:val="0"/>
          <w:color w:val="auto"/>
          <w:spacing w:val="0"/>
          <w:kern w:val="0"/>
          <w:sz w:val="32"/>
          <w:szCs w:val="32"/>
        </w:rPr>
        <w:t>检测</w:t>
      </w:r>
      <w:r>
        <w:rPr>
          <w:rFonts w:hint="eastAsia" w:ascii="仿宋_GB2312" w:hAnsi="仿宋_GB2312" w:eastAsia="仿宋_GB2312" w:cs="仿宋_GB2312"/>
          <w:caps w:val="0"/>
          <w:snapToGrid w:val="0"/>
          <w:color w:val="auto"/>
          <w:spacing w:val="0"/>
          <w:kern w:val="0"/>
          <w:sz w:val="32"/>
          <w:szCs w:val="32"/>
          <w:lang w:eastAsia="zh-CN"/>
        </w:rPr>
        <w:t>，</w:t>
      </w:r>
      <w:r>
        <w:rPr>
          <w:rFonts w:hint="eastAsia" w:ascii="仿宋_GB2312" w:hAnsi="仿宋_GB2312" w:eastAsia="仿宋_GB2312" w:cs="仿宋_GB2312"/>
          <w:caps w:val="0"/>
          <w:snapToGrid w:val="0"/>
          <w:color w:val="auto"/>
          <w:spacing w:val="0"/>
          <w:kern w:val="0"/>
          <w:sz w:val="32"/>
          <w:szCs w:val="32"/>
          <w:lang w:val="zh-CN" w:eastAsia="zh-CN"/>
        </w:rPr>
        <w:t>并把检测数据及时录入测土配方施肥数据管理系统，样品检</w:t>
      </w:r>
      <w:r>
        <w:rPr>
          <w:rFonts w:hint="eastAsia" w:ascii="仿宋_GB2312" w:hAnsi="仿宋_GB2312" w:eastAsia="仿宋_GB2312" w:cs="仿宋_GB2312"/>
          <w:caps w:val="0"/>
          <w:snapToGrid w:val="0"/>
          <w:color w:val="auto"/>
          <w:spacing w:val="0"/>
          <w:kern w:val="0"/>
          <w:sz w:val="32"/>
          <w:szCs w:val="32"/>
          <w:lang w:eastAsia="zh-CN"/>
        </w:rPr>
        <w:t>测精度、要求符合有关行业标准。</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zh-CN"/>
        </w:rPr>
      </w:pPr>
      <w:r>
        <w:rPr>
          <w:rFonts w:hint="eastAsia" w:ascii="仿宋_GB2312" w:hAnsi="仿宋_GB2312" w:eastAsia="仿宋_GB2312" w:cs="仿宋_GB2312"/>
          <w:caps w:val="0"/>
          <w:snapToGrid w:val="0"/>
          <w:color w:val="auto"/>
          <w:spacing w:val="0"/>
          <w:kern w:val="0"/>
          <w:sz w:val="32"/>
          <w:szCs w:val="32"/>
          <w:lang w:val="zh-CN"/>
        </w:rPr>
        <w:t>样品检测由县级以上（含县级）农业农村局或省内建有农业农村部相关监督检验测试中心的单位申报。项目实施应当具备如下条件：①具有耕地质量标准化验室资质或农业农村部检测相关重点实验室建设平台；②配备具有农业土壤和植株样品分析测试经验的分析人员，技术负责人具有中级以上技术职称；③化验室配备的仪器设备必须满足土壤样品有机质、全氮、碱解氮、有效磷、速效钾、pH、中微量元素和植株全氮、全磷、全钾、可溶性糖和维生素C等相关检测参数需求，具有完善的质量控制体系和</w:t>
      </w:r>
      <w:r>
        <w:rPr>
          <w:rFonts w:hint="eastAsia" w:ascii="仿宋_GB2312" w:hAnsi="仿宋_GB2312" w:eastAsia="仿宋_GB2312" w:cs="仿宋_GB2312"/>
          <w:caps w:val="0"/>
          <w:snapToGrid w:val="0"/>
          <w:color w:val="auto"/>
          <w:spacing w:val="0"/>
          <w:kern w:val="0"/>
          <w:sz w:val="32"/>
          <w:szCs w:val="32"/>
          <w:lang w:val="en-US" w:eastAsia="zh-CN"/>
        </w:rPr>
        <w:t>CMA资质</w:t>
      </w:r>
      <w:r>
        <w:rPr>
          <w:rFonts w:hint="eastAsia" w:ascii="仿宋_GB2312" w:hAnsi="仿宋_GB2312" w:eastAsia="仿宋_GB2312" w:cs="仿宋_GB2312"/>
          <w:caps w:val="0"/>
          <w:snapToGrid w:val="0"/>
          <w:color w:val="auto"/>
          <w:spacing w:val="0"/>
          <w:kern w:val="0"/>
          <w:sz w:val="32"/>
          <w:szCs w:val="32"/>
          <w:lang w:val="zh-CN"/>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4.项目资金额度及申报项目数量。</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检测土壤样品260个，每个500元，共13.00万元；检测植株样品2700个，每个样品200元/个，共54.00万元。每个单位可以申报土壤或者植株检测中1个工作任务，也可以同时申报2个工作任务。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default" w:ascii="仿宋_GB2312" w:hAnsi="仿宋_GB2312" w:eastAsia="仿宋_GB2312" w:cs="仿宋_GB2312"/>
          <w:caps w:val="0"/>
          <w:snapToGrid w:val="0"/>
          <w:color w:val="auto"/>
          <w:spacing w:val="0"/>
          <w:kern w:val="0"/>
          <w:sz w:val="32"/>
          <w:szCs w:val="32"/>
          <w:lang w:val="en-US"/>
        </w:rPr>
      </w:pPr>
      <w:r>
        <w:rPr>
          <w:rFonts w:hint="eastAsia" w:ascii="仿宋_GB2312" w:hAnsi="仿宋_GB2312" w:eastAsia="仿宋_GB2312" w:cs="仿宋_GB2312"/>
          <w:caps w:val="0"/>
          <w:snapToGrid w:val="0"/>
          <w:color w:val="auto"/>
          <w:spacing w:val="0"/>
          <w:kern w:val="0"/>
          <w:sz w:val="32"/>
          <w:szCs w:val="32"/>
          <w:lang w:val="en-US" w:eastAsia="zh-CN"/>
        </w:rPr>
        <w:t>拟选择2个单位实施本项目。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楷体_GB2312" w:hAnsi="楷体_GB2312" w:eastAsia="楷体_GB2312" w:cs="楷体_GB2312"/>
          <w:b w:val="0"/>
          <w:bCs w:val="0"/>
          <w:caps w:val="0"/>
          <w:snapToGrid w:val="0"/>
          <w:color w:val="auto"/>
          <w:spacing w:val="0"/>
          <w:kern w:val="0"/>
          <w:sz w:val="32"/>
          <w:szCs w:val="32"/>
          <w:lang w:val="en-US" w:eastAsia="zh-CN"/>
        </w:rPr>
      </w:pPr>
      <w:r>
        <w:rPr>
          <w:rFonts w:hint="eastAsia" w:ascii="楷体_GB2312" w:hAnsi="楷体_GB2312" w:eastAsia="楷体_GB2312" w:cs="楷体_GB2312"/>
          <w:b w:val="0"/>
          <w:bCs w:val="0"/>
          <w:caps w:val="0"/>
          <w:snapToGrid w:val="0"/>
          <w:color w:val="auto"/>
          <w:spacing w:val="0"/>
          <w:kern w:val="0"/>
          <w:sz w:val="32"/>
          <w:szCs w:val="32"/>
          <w:lang w:val="en-US" w:eastAsia="zh-CN"/>
        </w:rPr>
        <w:t>（三）化肥减量增效“三新”集成推进县项目。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val="en-US" w:eastAsia="zh-CN"/>
        </w:rPr>
        <w:t>1.建设内容</w:t>
      </w:r>
      <w:r>
        <w:rPr>
          <w:rFonts w:hint="eastAsia" w:ascii="仿宋_GB2312" w:hAnsi="仿宋_GB2312" w:eastAsia="仿宋_GB2312" w:cs="仿宋_GB2312"/>
          <w:cap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val="en-US" w:eastAsia="zh-CN"/>
        </w:rPr>
        <w:t>大力推进化肥减量增效行动，在粮食作物主产区和特色经济作物种植区，</w:t>
      </w:r>
      <w:r>
        <w:rPr>
          <w:rFonts w:hint="eastAsia" w:ascii="仿宋_GB2312" w:hAnsi="仿宋_GB2312" w:eastAsia="仿宋_GB2312" w:cs="仿宋_GB2312"/>
          <w:b/>
          <w:bCs/>
          <w:caps w:val="0"/>
          <w:snapToGrid w:val="0"/>
          <w:color w:val="auto"/>
          <w:spacing w:val="0"/>
          <w:kern w:val="0"/>
          <w:sz w:val="32"/>
          <w:szCs w:val="32"/>
          <w:lang w:val="en-US" w:eastAsia="zh-CN"/>
        </w:rPr>
        <w:t>结合农村生活污水资源化还田利用，探索整村整乡镇推进“三新”集成技术模式</w:t>
      </w:r>
      <w:r>
        <w:rPr>
          <w:rFonts w:hint="eastAsia" w:ascii="仿宋_GB2312" w:hAnsi="仿宋_GB2312" w:eastAsia="仿宋_GB2312" w:cs="仿宋_GB2312"/>
          <w:caps w:val="0"/>
          <w:snapToGrid w:val="0"/>
          <w:color w:val="auto"/>
          <w:spacing w:val="0"/>
          <w:kern w:val="0"/>
          <w:sz w:val="32"/>
          <w:szCs w:val="32"/>
          <w:lang w:val="en-US" w:eastAsia="zh-CN"/>
        </w:rPr>
        <w:t>。本项目主要</w:t>
      </w:r>
      <w:r>
        <w:rPr>
          <w:rFonts w:hint="eastAsia" w:ascii="仿宋_GB2312" w:hAnsi="仿宋_GB2312" w:eastAsia="仿宋_GB2312" w:cs="仿宋_GB2312"/>
          <w:caps w:val="0"/>
          <w:snapToGrid w:val="0"/>
          <w:color w:val="auto"/>
          <w:spacing w:val="0"/>
          <w:kern w:val="0"/>
          <w:sz w:val="32"/>
          <w:szCs w:val="32"/>
          <w:lang w:eastAsia="zh-CN"/>
        </w:rPr>
        <w:t>以新型农业经营主体</w:t>
      </w:r>
      <w:r>
        <w:rPr>
          <w:rFonts w:hint="eastAsia" w:ascii="仿宋_GB2312" w:hAnsi="仿宋_GB2312" w:eastAsia="仿宋_GB2312" w:cs="仿宋_GB2312"/>
          <w:caps w:val="0"/>
          <w:snapToGrid w:val="0"/>
          <w:color w:val="auto"/>
          <w:spacing w:val="0"/>
          <w:kern w:val="0"/>
          <w:sz w:val="32"/>
          <w:szCs w:val="32"/>
          <w:lang w:val="en-US" w:eastAsia="zh-CN"/>
        </w:rPr>
        <w:t>作</w:t>
      </w:r>
      <w:r>
        <w:rPr>
          <w:rFonts w:hint="eastAsia" w:ascii="仿宋_GB2312" w:hAnsi="仿宋_GB2312" w:eastAsia="仿宋_GB2312" w:cs="仿宋_GB2312"/>
          <w:caps w:val="0"/>
          <w:snapToGrid w:val="0"/>
          <w:color w:val="auto"/>
          <w:spacing w:val="0"/>
          <w:kern w:val="0"/>
          <w:sz w:val="32"/>
          <w:szCs w:val="32"/>
          <w:lang w:eastAsia="zh-CN"/>
        </w:rPr>
        <w:t>为重点，采用政府购买服务、物化补助等方式</w:t>
      </w:r>
      <w:r>
        <w:rPr>
          <w:rFonts w:hint="eastAsia" w:ascii="仿宋_GB2312" w:hAnsi="仿宋_GB2312" w:eastAsia="仿宋_GB2312" w:cs="仿宋_GB2312"/>
          <w:caps w:val="0"/>
          <w:snapToGrid w:val="0"/>
          <w:color w:val="auto"/>
          <w:spacing w:val="0"/>
          <w:kern w:val="0"/>
          <w:sz w:val="32"/>
          <w:szCs w:val="32"/>
          <w:lang w:val="en-US" w:eastAsia="zh-CN"/>
        </w:rPr>
        <w:t>实施，其中水稻种植区每亩补助金额不超过</w:t>
      </w:r>
      <w:r>
        <w:rPr>
          <w:rFonts w:hint="default" w:ascii="仿宋_GB2312" w:hAnsi="仿宋_GB2312" w:eastAsia="仿宋_GB2312" w:cs="仿宋_GB2312"/>
          <w:caps w:val="0"/>
          <w:snapToGrid w:val="0"/>
          <w:color w:val="auto"/>
          <w:spacing w:val="0"/>
          <w:kern w:val="0"/>
          <w:sz w:val="32"/>
          <w:szCs w:val="32"/>
          <w:lang w:val="en" w:eastAsia="zh-CN"/>
        </w:rPr>
        <w:t>50</w:t>
      </w:r>
      <w:r>
        <w:rPr>
          <w:rFonts w:hint="eastAsia" w:ascii="仿宋_GB2312" w:hAnsi="仿宋_GB2312" w:eastAsia="仿宋_GB2312" w:cs="仿宋_GB2312"/>
          <w:caps w:val="0"/>
          <w:snapToGrid w:val="0"/>
          <w:color w:val="auto"/>
          <w:spacing w:val="0"/>
          <w:kern w:val="0"/>
          <w:sz w:val="32"/>
          <w:szCs w:val="32"/>
          <w:lang w:val="en-US" w:eastAsia="zh-CN"/>
        </w:rPr>
        <w:t>元，特色经济作物示范区每亩补助金额不超过</w:t>
      </w:r>
      <w:r>
        <w:rPr>
          <w:rFonts w:hint="default" w:ascii="仿宋_GB2312" w:hAnsi="仿宋_GB2312" w:eastAsia="仿宋_GB2312" w:cs="仿宋_GB2312"/>
          <w:caps w:val="0"/>
          <w:snapToGrid w:val="0"/>
          <w:color w:val="auto"/>
          <w:spacing w:val="0"/>
          <w:kern w:val="0"/>
          <w:sz w:val="32"/>
          <w:szCs w:val="32"/>
          <w:lang w:val="en" w:eastAsia="zh-CN"/>
        </w:rPr>
        <w:t>50</w:t>
      </w:r>
      <w:r>
        <w:rPr>
          <w:rFonts w:hint="eastAsia" w:ascii="仿宋_GB2312" w:hAnsi="仿宋_GB2312" w:eastAsia="仿宋_GB2312" w:cs="仿宋_GB2312"/>
          <w:caps w:val="0"/>
          <w:snapToGrid w:val="0"/>
          <w:color w:val="auto"/>
          <w:spacing w:val="0"/>
          <w:kern w:val="0"/>
          <w:sz w:val="32"/>
          <w:szCs w:val="32"/>
          <w:lang w:val="en-US" w:eastAsia="zh-CN"/>
        </w:rPr>
        <w:t>0元。粮食作物产区，主要</w:t>
      </w:r>
      <w:r>
        <w:rPr>
          <w:rFonts w:hint="eastAsia" w:ascii="仿宋_GB2312" w:hAnsi="仿宋_GB2312" w:eastAsia="仿宋_GB2312" w:cs="仿宋_GB2312"/>
          <w:caps w:val="0"/>
          <w:snapToGrid w:val="0"/>
          <w:color w:val="auto"/>
          <w:spacing w:val="0"/>
          <w:kern w:val="0"/>
          <w:sz w:val="32"/>
          <w:szCs w:val="32"/>
          <w:lang w:eastAsia="zh-CN"/>
        </w:rPr>
        <w:t>集成推广</w:t>
      </w:r>
      <w:r>
        <w:rPr>
          <w:rFonts w:hint="eastAsia" w:ascii="仿宋_GB2312" w:hAnsi="仿宋_GB2312" w:eastAsia="仿宋_GB2312" w:cs="仿宋_GB2312"/>
          <w:caps w:val="0"/>
          <w:snapToGrid w:val="0"/>
          <w:color w:val="auto"/>
          <w:spacing w:val="0"/>
          <w:kern w:val="0"/>
          <w:sz w:val="32"/>
          <w:szCs w:val="32"/>
          <w:lang w:val="en-US" w:eastAsia="zh-CN"/>
        </w:rPr>
        <w:t>水稻专用配方肥（包括缓控释肥）以及轻简高效机械施肥</w:t>
      </w:r>
      <w:r>
        <w:rPr>
          <w:rFonts w:hint="eastAsia" w:ascii="仿宋_GB2312" w:hAnsi="仿宋_GB2312" w:eastAsia="仿宋_GB2312" w:cs="仿宋_GB2312"/>
          <w:caps w:val="0"/>
          <w:snapToGrid w:val="0"/>
          <w:color w:val="auto"/>
          <w:spacing w:val="0"/>
          <w:kern w:val="0"/>
          <w:sz w:val="32"/>
          <w:szCs w:val="32"/>
          <w:lang w:eastAsia="zh-CN"/>
        </w:rPr>
        <w:t>等“</w:t>
      </w:r>
      <w:r>
        <w:rPr>
          <w:rFonts w:hint="eastAsia" w:ascii="仿宋_GB2312" w:hAnsi="仿宋_GB2312" w:eastAsia="仿宋_GB2312" w:cs="仿宋_GB2312"/>
          <w:caps w:val="0"/>
          <w:snapToGrid w:val="0"/>
          <w:color w:val="auto"/>
          <w:spacing w:val="0"/>
          <w:kern w:val="0"/>
          <w:sz w:val="32"/>
          <w:szCs w:val="32"/>
          <w:lang w:val="en-US" w:eastAsia="zh-CN"/>
        </w:rPr>
        <w:t>三新”模式，</w:t>
      </w:r>
      <w:r>
        <w:rPr>
          <w:rFonts w:hint="eastAsia" w:ascii="仿宋_GB2312" w:hAnsi="仿宋_GB2312" w:eastAsia="仿宋_GB2312" w:cs="仿宋_GB2312"/>
          <w:b/>
          <w:bCs/>
          <w:caps w:val="0"/>
          <w:snapToGrid w:val="0"/>
          <w:color w:val="auto"/>
          <w:spacing w:val="0"/>
          <w:kern w:val="0"/>
          <w:sz w:val="32"/>
          <w:szCs w:val="32"/>
          <w:lang w:val="en-US" w:eastAsia="zh-CN"/>
        </w:rPr>
        <w:t>实施沼渣、沼液还田，合理利用经无害化处理的农村生活污水；</w:t>
      </w:r>
      <w:r>
        <w:rPr>
          <w:rFonts w:hint="eastAsia" w:ascii="仿宋_GB2312" w:hAnsi="仿宋_GB2312" w:eastAsia="仿宋_GB2312" w:cs="仿宋_GB2312"/>
          <w:caps w:val="0"/>
          <w:snapToGrid w:val="0"/>
          <w:color w:val="auto"/>
          <w:spacing w:val="0"/>
          <w:kern w:val="0"/>
          <w:sz w:val="32"/>
          <w:szCs w:val="32"/>
          <w:lang w:val="en-US" w:eastAsia="zh-CN"/>
        </w:rPr>
        <w:t>特色经济作物种植区，果茶园重点推广有机肥（包括沼渣、沼液）+配方肥+水肥一体化和叶面施肥等模式，蔬菜重点推广有机肥（包括沼渣、沼液）+水肥一体化等模式，</w:t>
      </w:r>
      <w:r>
        <w:rPr>
          <w:rFonts w:hint="eastAsia" w:ascii="仿宋_GB2312" w:hAnsi="仿宋_GB2312" w:eastAsia="仿宋_GB2312" w:cs="仿宋_GB2312"/>
          <w:b/>
          <w:bCs/>
          <w:caps w:val="0"/>
          <w:snapToGrid w:val="0"/>
          <w:color w:val="auto"/>
          <w:spacing w:val="0"/>
          <w:kern w:val="0"/>
          <w:sz w:val="32"/>
          <w:szCs w:val="32"/>
          <w:lang w:val="en-US" w:eastAsia="zh-CN"/>
        </w:rPr>
        <w:t>合理利用经无害化处理的农村生活污水</w:t>
      </w:r>
      <w:r>
        <w:rPr>
          <w:rFonts w:hint="eastAsia" w:ascii="仿宋_GB2312" w:hAnsi="仿宋_GB2312" w:eastAsia="仿宋_GB2312" w:cs="仿宋_GB2312"/>
          <w:caps w:val="0"/>
          <w:snapToGrid w:val="0"/>
          <w:color w:val="auto"/>
          <w:spacing w:val="0"/>
          <w:kern w:val="0"/>
          <w:sz w:val="32"/>
          <w:szCs w:val="32"/>
          <w:lang w:val="en-US" w:eastAsia="zh-CN"/>
        </w:rPr>
        <w:t>。通过“三新”示范区建设</w:t>
      </w:r>
      <w:r>
        <w:rPr>
          <w:rFonts w:hint="eastAsia" w:ascii="仿宋_GB2312" w:hAnsi="仿宋_GB2312" w:eastAsia="仿宋_GB2312" w:cs="仿宋_GB2312"/>
          <w:caps w:val="0"/>
          <w:snapToGrid w:val="0"/>
          <w:color w:val="auto"/>
          <w:spacing w:val="0"/>
          <w:kern w:val="0"/>
          <w:sz w:val="32"/>
          <w:szCs w:val="32"/>
          <w:lang w:eastAsia="zh-CN"/>
        </w:rPr>
        <w:t>形成县域化肥减量增效主推技术，带动化肥减量增效新技术新产品新机具大面积推广应用。同时，配合省级教学科研单位做好测土配方施肥田间试验工作。</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val="en-US" w:eastAsia="zh-CN"/>
        </w:rPr>
        <w:t>全省建设化肥减量增效“三新”集成推进县10个。其中，粮食作物“三新”推进县8个，</w:t>
      </w:r>
      <w:r>
        <w:rPr>
          <w:rFonts w:hint="eastAsia" w:ascii="仿宋_GB2312" w:hAnsi="仿宋_GB2312" w:eastAsia="仿宋_GB2312" w:cs="仿宋_GB2312"/>
          <w:caps w:val="0"/>
          <w:snapToGrid w:val="0"/>
          <w:color w:val="auto"/>
          <w:spacing w:val="0"/>
          <w:kern w:val="0"/>
          <w:sz w:val="32"/>
          <w:szCs w:val="32"/>
          <w:lang w:eastAsia="zh-CN"/>
        </w:rPr>
        <w:t>每个县重点打造10个千亩方和2个万亩片，辐射带动15万亩以上；</w:t>
      </w:r>
      <w:r>
        <w:rPr>
          <w:rFonts w:hint="eastAsia" w:ascii="仿宋_GB2312" w:hAnsi="仿宋_GB2312" w:eastAsia="仿宋_GB2312" w:cs="仿宋_GB2312"/>
          <w:caps w:val="0"/>
          <w:snapToGrid w:val="0"/>
          <w:color w:val="auto"/>
          <w:spacing w:val="0"/>
          <w:kern w:val="0"/>
          <w:sz w:val="32"/>
          <w:szCs w:val="32"/>
          <w:lang w:val="en-US" w:eastAsia="zh-CN"/>
        </w:rPr>
        <w:t>特色经济作物“三新”推进县2个，</w:t>
      </w:r>
      <w:r>
        <w:rPr>
          <w:rFonts w:hint="eastAsia" w:ascii="仿宋_GB2312" w:hAnsi="仿宋_GB2312" w:eastAsia="仿宋_GB2312" w:cs="仿宋_GB2312"/>
          <w:caps w:val="0"/>
          <w:snapToGrid w:val="0"/>
          <w:color w:val="auto"/>
          <w:spacing w:val="0"/>
          <w:kern w:val="0"/>
          <w:sz w:val="32"/>
          <w:szCs w:val="32"/>
          <w:lang w:eastAsia="zh-CN"/>
        </w:rPr>
        <w:t>每个</w:t>
      </w:r>
      <w:r>
        <w:rPr>
          <w:rFonts w:hint="eastAsia" w:ascii="仿宋_GB2312" w:hAnsi="仿宋_GB2312" w:eastAsia="仿宋_GB2312" w:cs="仿宋_GB2312"/>
          <w:caps w:val="0"/>
          <w:snapToGrid w:val="0"/>
          <w:color w:val="auto"/>
          <w:spacing w:val="0"/>
          <w:kern w:val="0"/>
          <w:sz w:val="32"/>
          <w:szCs w:val="32"/>
          <w:lang w:val="en-US" w:eastAsia="zh-CN"/>
        </w:rPr>
        <w:t>县</w:t>
      </w:r>
      <w:r>
        <w:rPr>
          <w:rFonts w:hint="eastAsia" w:ascii="仿宋_GB2312" w:hAnsi="仿宋_GB2312" w:eastAsia="仿宋_GB2312" w:cs="仿宋_GB2312"/>
          <w:caps w:val="0"/>
          <w:snapToGrid w:val="0"/>
          <w:color w:val="auto"/>
          <w:spacing w:val="0"/>
          <w:kern w:val="0"/>
          <w:sz w:val="32"/>
          <w:szCs w:val="32"/>
          <w:lang w:eastAsia="zh-CN"/>
        </w:rPr>
        <w:t>建设</w:t>
      </w:r>
      <w:r>
        <w:rPr>
          <w:rFonts w:hint="eastAsia" w:ascii="仿宋_GB2312" w:hAnsi="仿宋_GB2312" w:eastAsia="仿宋_GB2312" w:cs="仿宋_GB2312"/>
          <w:caps w:val="0"/>
          <w:snapToGrid w:val="0"/>
          <w:color w:val="auto"/>
          <w:spacing w:val="0"/>
          <w:kern w:val="0"/>
          <w:sz w:val="32"/>
          <w:szCs w:val="32"/>
          <w:lang w:val="en-US" w:eastAsia="zh-CN"/>
        </w:rPr>
        <w:t>3个千亩方，辐射带动周边5万亩以上。</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rPr>
        <w:t>化肥减量增效</w:t>
      </w:r>
      <w:r>
        <w:rPr>
          <w:rFonts w:hint="eastAsia" w:ascii="仿宋_GB2312" w:hAnsi="仿宋_GB2312" w:eastAsia="仿宋_GB2312" w:cs="仿宋_GB2312"/>
          <w:caps w:val="0"/>
          <w:snapToGrid w:val="0"/>
          <w:color w:val="auto"/>
          <w:spacing w:val="0"/>
          <w:kern w:val="0"/>
          <w:sz w:val="32"/>
          <w:szCs w:val="32"/>
          <w:lang w:eastAsia="zh-CN"/>
        </w:rPr>
        <w:t>“三新”</w:t>
      </w:r>
      <w:r>
        <w:rPr>
          <w:rFonts w:hint="eastAsia" w:ascii="仿宋_GB2312" w:hAnsi="仿宋_GB2312" w:eastAsia="仿宋_GB2312" w:cs="仿宋_GB2312"/>
          <w:caps w:val="0"/>
          <w:snapToGrid w:val="0"/>
          <w:color w:val="auto"/>
          <w:spacing w:val="0"/>
          <w:kern w:val="0"/>
          <w:sz w:val="32"/>
          <w:szCs w:val="32"/>
          <w:lang w:val="en-US" w:eastAsia="zh-CN"/>
        </w:rPr>
        <w:t>技术集成推进县</w:t>
      </w:r>
      <w:r>
        <w:rPr>
          <w:rFonts w:hint="eastAsia" w:ascii="仿宋_GB2312" w:hAnsi="仿宋_GB2312" w:eastAsia="仿宋_GB2312" w:cs="仿宋_GB2312"/>
          <w:caps w:val="0"/>
          <w:snapToGrid w:val="0"/>
          <w:color w:val="auto"/>
          <w:spacing w:val="0"/>
          <w:kern w:val="0"/>
          <w:sz w:val="32"/>
          <w:szCs w:val="32"/>
          <w:lang w:eastAsia="zh-CN"/>
        </w:rPr>
        <w:t>建设</w:t>
      </w:r>
      <w:r>
        <w:rPr>
          <w:rFonts w:hint="eastAsia" w:ascii="仿宋_GB2312" w:hAnsi="仿宋_GB2312" w:eastAsia="仿宋_GB2312" w:cs="仿宋_GB2312"/>
          <w:caps w:val="0"/>
          <w:snapToGrid w:val="0"/>
          <w:color w:val="auto"/>
          <w:spacing w:val="0"/>
          <w:kern w:val="0"/>
          <w:sz w:val="32"/>
          <w:szCs w:val="32"/>
        </w:rPr>
        <w:t>项目</w:t>
      </w:r>
      <w:r>
        <w:rPr>
          <w:rFonts w:hint="eastAsia" w:ascii="仿宋_GB2312" w:hAnsi="仿宋_GB2312" w:eastAsia="仿宋_GB2312" w:cs="仿宋_GB2312"/>
          <w:caps w:val="0"/>
          <w:snapToGrid w:val="0"/>
          <w:color w:val="auto"/>
          <w:spacing w:val="0"/>
          <w:kern w:val="0"/>
          <w:sz w:val="32"/>
          <w:szCs w:val="32"/>
          <w:lang w:eastAsia="zh-CN"/>
        </w:rPr>
        <w:t>由县级农业农村部门申报</w:t>
      </w:r>
      <w:r>
        <w:rPr>
          <w:rFonts w:hint="eastAsia" w:ascii="仿宋_GB2312" w:hAnsi="仿宋_GB2312" w:eastAsia="仿宋_GB2312" w:cs="仿宋_GB2312"/>
          <w:caps w:val="0"/>
          <w:snapToGrid w:val="0"/>
          <w:color w:val="auto"/>
          <w:spacing w:val="0"/>
          <w:kern w:val="0"/>
          <w:sz w:val="32"/>
          <w:szCs w:val="32"/>
        </w:rPr>
        <w:t>。</w:t>
      </w:r>
      <w:r>
        <w:rPr>
          <w:rFonts w:hint="eastAsia" w:ascii="仿宋_GB2312" w:hAnsi="仿宋_GB2312" w:eastAsia="仿宋_GB2312" w:cs="仿宋_GB2312"/>
          <w:caps w:val="0"/>
          <w:snapToGrid w:val="0"/>
          <w:color w:val="auto"/>
          <w:spacing w:val="0"/>
          <w:kern w:val="0"/>
          <w:sz w:val="32"/>
          <w:szCs w:val="32"/>
          <w:lang w:eastAsia="zh-CN"/>
        </w:rPr>
        <w:t>申报条件如下：①作物种植面积大、用肥量大或靠近重要水源保护区的县份；②具备</w:t>
      </w:r>
      <w:r>
        <w:rPr>
          <w:rFonts w:hint="eastAsia" w:ascii="仿宋_GB2312" w:hAnsi="仿宋_GB2312" w:eastAsia="仿宋_GB2312" w:cs="仿宋_GB2312"/>
          <w:caps w:val="0"/>
          <w:snapToGrid w:val="0"/>
          <w:color w:val="auto"/>
          <w:spacing w:val="0"/>
          <w:kern w:val="0"/>
          <w:sz w:val="32"/>
          <w:szCs w:val="32"/>
          <w:lang w:val="en-US" w:eastAsia="zh-CN"/>
        </w:rPr>
        <w:t>多个</w:t>
      </w:r>
      <w:r>
        <w:rPr>
          <w:rFonts w:hint="eastAsia" w:ascii="仿宋_GB2312" w:hAnsi="仿宋_GB2312" w:eastAsia="仿宋_GB2312" w:cs="仿宋_GB2312"/>
          <w:caps w:val="0"/>
          <w:snapToGrid w:val="0"/>
          <w:color w:val="auto"/>
          <w:spacing w:val="0"/>
          <w:kern w:val="0"/>
          <w:sz w:val="32"/>
          <w:szCs w:val="32"/>
          <w:lang w:eastAsia="zh-CN"/>
        </w:rPr>
        <w:t>个相对集中连片</w:t>
      </w:r>
      <w:r>
        <w:rPr>
          <w:rFonts w:hint="eastAsia" w:ascii="仿宋_GB2312" w:hAnsi="仿宋_GB2312" w:eastAsia="仿宋_GB2312" w:cs="仿宋_GB2312"/>
          <w:caps w:val="0"/>
          <w:snapToGrid w:val="0"/>
          <w:color w:val="auto"/>
          <w:spacing w:val="0"/>
          <w:kern w:val="0"/>
          <w:sz w:val="32"/>
          <w:szCs w:val="32"/>
          <w:lang w:val="en-US" w:eastAsia="zh-CN"/>
        </w:rPr>
        <w:t>的</w:t>
      </w:r>
      <w:r>
        <w:rPr>
          <w:rFonts w:hint="eastAsia" w:ascii="仿宋_GB2312" w:hAnsi="仿宋_GB2312" w:eastAsia="仿宋_GB2312" w:cs="仿宋_GB2312"/>
          <w:caps w:val="0"/>
          <w:snapToGrid w:val="0"/>
          <w:color w:val="auto"/>
          <w:spacing w:val="0"/>
          <w:kern w:val="0"/>
          <w:sz w:val="32"/>
          <w:szCs w:val="32"/>
          <w:lang w:eastAsia="zh-CN"/>
        </w:rPr>
        <w:t>种植示范区域；③配方肥等新型肥料推广应用具备较好的基础，具备与规模大、信誉好的供肥企业合作的经验；④项目承担主体重视化肥减量增效工作，具有较强的技术力量（农技人员</w:t>
      </w:r>
      <w:r>
        <w:rPr>
          <w:rFonts w:hint="eastAsia" w:ascii="仿宋_GB2312" w:hAnsi="仿宋_GB2312" w:eastAsia="仿宋_GB2312" w:cs="仿宋_GB2312"/>
          <w:caps w:val="0"/>
          <w:snapToGrid w:val="0"/>
          <w:color w:val="auto"/>
          <w:spacing w:val="0"/>
          <w:kern w:val="0"/>
          <w:sz w:val="32"/>
          <w:szCs w:val="32"/>
          <w:lang w:val="en-US" w:eastAsia="zh-CN"/>
        </w:rPr>
        <w:t>5人以上</w:t>
      </w:r>
      <w:r>
        <w:rPr>
          <w:rFonts w:hint="eastAsia" w:ascii="仿宋_GB2312" w:hAnsi="仿宋_GB2312" w:eastAsia="仿宋_GB2312" w:cs="仿宋_GB2312"/>
          <w:caps w:val="0"/>
          <w:snapToGrid w:val="0"/>
          <w:color w:val="auto"/>
          <w:spacing w:val="0"/>
          <w:kern w:val="0"/>
          <w:sz w:val="32"/>
          <w:szCs w:val="32"/>
          <w:lang w:eastAsia="zh-CN"/>
        </w:rPr>
        <w:t>），项目技术负责人具有土肥或农学专业中级以上技术职称；⑤近年来较好地完成测土配方施肥和化肥减量增效工作任务，上报数据和工作总结按时完成。</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4.项目资金额度及数量。</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rPr>
        <w:t>每个</w:t>
      </w:r>
      <w:r>
        <w:rPr>
          <w:rFonts w:hint="eastAsia" w:ascii="仿宋_GB2312" w:hAnsi="仿宋_GB2312" w:eastAsia="仿宋_GB2312" w:cs="仿宋_GB2312"/>
          <w:caps w:val="0"/>
          <w:snapToGrid w:val="0"/>
          <w:color w:val="auto"/>
          <w:spacing w:val="0"/>
          <w:kern w:val="0"/>
          <w:sz w:val="32"/>
          <w:szCs w:val="32"/>
          <w:lang w:eastAsia="zh-CN"/>
        </w:rPr>
        <w:t>化肥减量增效“三新”集成推进县补助</w:t>
      </w:r>
      <w:r>
        <w:rPr>
          <w:rFonts w:hint="eastAsia" w:ascii="仿宋_GB2312" w:hAnsi="仿宋_GB2312" w:eastAsia="仿宋_GB2312" w:cs="仿宋_GB2312"/>
          <w:caps w:val="0"/>
          <w:snapToGrid w:val="0"/>
          <w:color w:val="auto"/>
          <w:spacing w:val="0"/>
          <w:kern w:val="0"/>
          <w:sz w:val="32"/>
          <w:szCs w:val="32"/>
          <w:lang w:val="en-US" w:eastAsia="zh-CN"/>
        </w:rPr>
        <w:t>115万元，10个县共计1150万元。</w:t>
      </w:r>
    </w:p>
    <w:p>
      <w:pPr>
        <w:keepLines/>
        <w:widowControl/>
        <w:kinsoku w:val="0"/>
        <w:wordWrap/>
        <w:overflowPunct/>
        <w:adjustRightInd w:val="0"/>
        <w:spacing w:line="590" w:lineRule="exact"/>
        <w:rPr>
          <w:rFonts w:hint="eastAsia" w:ascii="方正小标宋简体" w:hAnsi="方正小标宋简体" w:eastAsia="方正小标宋简体" w:cs="方正小标宋简体"/>
          <w:lang w:val="en-US" w:eastAsia="zh-CN"/>
        </w:rPr>
      </w:pPr>
      <w:r>
        <w:br w:type="page"/>
      </w:r>
    </w:p>
    <w:p>
      <w:pPr>
        <w:pStyle w:val="3"/>
        <w:keepLines/>
        <w:widowControl/>
        <w:kinsoku w:val="0"/>
        <w:wordWrap/>
        <w:overflowPunct/>
        <w:bidi w:val="0"/>
        <w:spacing w:line="590" w:lineRule="exact"/>
        <w:rPr>
          <w:rFonts w:hint="eastAsia" w:ascii="方正小标宋简体" w:hAnsi="方正小标宋简体" w:cs="方正小标宋简体"/>
          <w:lang w:val="en-US" w:eastAsia="zh-CN"/>
        </w:rPr>
      </w:pPr>
      <w:r>
        <w:rPr>
          <w:rFonts w:hint="eastAsia" w:ascii="方正小标宋简体" w:hAnsi="方正小标宋简体" w:cs="方正小标宋简体"/>
          <w:lang w:val="en-US" w:eastAsia="zh-CN"/>
        </w:rPr>
        <w:t>广东省2024年化肥减量增效项目</w:t>
      </w:r>
    </w:p>
    <w:p>
      <w:pPr>
        <w:pStyle w:val="3"/>
        <w:keepLines/>
        <w:widowControl/>
        <w:kinsoku w:val="0"/>
        <w:wordWrap/>
        <w:overflowPunct/>
        <w:bidi w:val="0"/>
        <w:spacing w:line="590" w:lineRule="exact"/>
        <w:rPr>
          <w:rFonts w:hint="eastAsia" w:ascii="方正小标宋简体" w:hAnsi="方正小标宋简体" w:cs="方正小标宋简体"/>
          <w:lang w:val="en-US" w:eastAsia="zh-CN"/>
        </w:rPr>
      </w:pPr>
    </w:p>
    <w:p>
      <w:pPr>
        <w:pStyle w:val="3"/>
        <w:keepLines/>
        <w:widowControl/>
        <w:kinsoku w:val="0"/>
        <w:wordWrap/>
        <w:overflowPunct/>
        <w:bidi w:val="0"/>
        <w:spacing w:line="590" w:lineRule="exact"/>
        <w:rPr>
          <w:rFonts w:hint="eastAsia" w:ascii="方正小标宋简体" w:hAnsi="方正小标宋简体" w:cs="方正小标宋简体"/>
          <w:lang w:val="en-US" w:eastAsia="zh-CN"/>
        </w:rPr>
      </w:pPr>
      <w:r>
        <w:rPr>
          <w:rFonts w:hint="eastAsia" w:ascii="方正小标宋简体" w:hAnsi="方正小标宋简体" w:cs="方正小标宋简体"/>
          <w:lang w:val="en-US" w:eastAsia="zh-CN"/>
        </w:rPr>
        <w:t>申报书模板</w:t>
      </w:r>
    </w:p>
    <w:p>
      <w:pPr>
        <w:keepNext w:val="0"/>
        <w:keepLines/>
        <w:pageBreakBefore w:val="0"/>
        <w:widowControl/>
        <w:kinsoku w:val="0"/>
        <w:wordWrap/>
        <w:overflowPunct/>
        <w:topLinePunct w:val="0"/>
        <w:bidi w:val="0"/>
        <w:adjustRightInd w:val="0"/>
        <w:snapToGrid w:val="0"/>
        <w:spacing w:line="590" w:lineRule="exact"/>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pStyle w:val="4"/>
        <w:keepLines/>
        <w:widowControl/>
        <w:kinsoku w:val="0"/>
        <w:wordWrap/>
        <w:overflowPunct/>
        <w:adjustRightInd w:val="0"/>
        <w:spacing w:line="590" w:lineRule="exact"/>
      </w:pPr>
    </w:p>
    <w:tbl>
      <w:tblPr>
        <w:tblStyle w:val="8"/>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0"/>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田间试验样品检测/田间试验</w:t>
            </w: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5840" w:type="dxa"/>
            <w:tcBorders>
              <w:top w:val="single" w:color="auto" w:sz="4" w:space="0"/>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hint="eastAsia" w:ascii="黑体" w:eastAsia="黑体"/>
                <w:color w:val="auto"/>
                <w:sz w:val="28"/>
                <w:szCs w:val="28"/>
              </w:rPr>
            </w:pPr>
            <w:r>
              <w:rPr>
                <w:rFonts w:hint="eastAsia" w:ascii="黑体" w:eastAsia="黑体"/>
                <w:color w:val="auto"/>
                <w:sz w:val="28"/>
                <w:szCs w:val="28"/>
              </w:rPr>
              <w:t>申 报 日 期：</w:t>
            </w:r>
          </w:p>
        </w:tc>
        <w:tc>
          <w:tcPr>
            <w:tcW w:w="5840" w:type="dxa"/>
            <w:tcBorders>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616"/>
              <w:rPr>
                <w:rFonts w:hint="eastAsia"/>
                <w:color w:val="auto"/>
                <w:sz w:val="24"/>
                <w:szCs w:val="32"/>
              </w:rPr>
            </w:pPr>
          </w:p>
        </w:tc>
      </w:tr>
    </w:tbl>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pStyle w:val="4"/>
        <w:keepNext w:val="0"/>
        <w:keepLines/>
        <w:pageBreakBefore w:val="0"/>
        <w:widowControl/>
        <w:kinsoku w:val="0"/>
        <w:wordWrap/>
        <w:overflowPunct/>
        <w:topLinePunct w:val="0"/>
        <w:bidi w:val="0"/>
        <w:adjustRightInd w:val="0"/>
        <w:snapToGrid w:val="0"/>
        <w:spacing w:line="590" w:lineRule="exact"/>
        <w:rPr>
          <w:rFonts w:ascii="宋体" w:hAnsi="宋体"/>
          <w:color w:val="auto"/>
          <w:sz w:val="28"/>
          <w:szCs w:val="28"/>
        </w:rPr>
      </w:pPr>
    </w:p>
    <w:p>
      <w:pPr>
        <w:pStyle w:val="4"/>
        <w:keepNext w:val="0"/>
        <w:keepLines/>
        <w:pageBreakBefore w:val="0"/>
        <w:widowControl/>
        <w:kinsoku w:val="0"/>
        <w:wordWrap/>
        <w:overflowPunct/>
        <w:topLinePunct w:val="0"/>
        <w:bidi w:val="0"/>
        <w:adjustRightInd w:val="0"/>
        <w:snapToGrid w:val="0"/>
        <w:spacing w:line="590" w:lineRule="exact"/>
        <w:rPr>
          <w:color w:val="auto"/>
        </w:rPr>
      </w:pPr>
    </w:p>
    <w:p>
      <w:pPr>
        <w:keepLines/>
        <w:widowControl/>
        <w:kinsoku w:val="0"/>
        <w:wordWrap/>
        <w:overflowPunct/>
        <w:adjustRightInd w:val="0"/>
        <w:spacing w:line="590" w:lineRule="exact"/>
      </w:pPr>
    </w:p>
    <w:p>
      <w:pPr>
        <w:keepNext w:val="0"/>
        <w:keepLines/>
        <w:pageBreakBefore w:val="0"/>
        <w:widowControl/>
        <w:kinsoku w:val="0"/>
        <w:wordWrap/>
        <w:overflowPunct/>
        <w:topLinePunct w:val="0"/>
        <w:bidi w:val="0"/>
        <w:adjustRightInd w:val="0"/>
        <w:snapToGrid w:val="0"/>
        <w:spacing w:line="59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pageBreakBefore w:val="0"/>
        <w:widowControl/>
        <w:kinsoku w:val="0"/>
        <w:wordWrap/>
        <w:overflowPunct/>
        <w:topLinePunct w:val="0"/>
        <w:bidi w:val="0"/>
        <w:adjustRightInd w:val="0"/>
        <w:snapToGrid w:val="0"/>
        <w:spacing w:line="59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w:t>
      </w:r>
      <w:r>
        <w:rPr>
          <w:rFonts w:hint="eastAsia" w:ascii="楷体_GB2312" w:hAnsi="楷体_GB2312" w:eastAsia="楷体_GB2312" w:cs="楷体_GB2312"/>
          <w:b/>
          <w:bCs w:val="0"/>
          <w:color w:val="auto"/>
          <w:sz w:val="32"/>
          <w:szCs w:val="32"/>
          <w:lang w:eastAsia="zh-CN"/>
        </w:rPr>
        <w:t>二</w:t>
      </w:r>
      <w:r>
        <w:rPr>
          <w:rFonts w:hint="eastAsia" w:ascii="楷体_GB2312" w:hAnsi="楷体_GB2312" w:eastAsia="楷体_GB2312" w:cs="楷体_GB2312"/>
          <w:b/>
          <w:bCs w:val="0"/>
          <w:color w:val="auto"/>
          <w:sz w:val="32"/>
          <w:szCs w:val="32"/>
        </w:rPr>
        <w:t xml:space="preserve">   年   月</w:t>
      </w:r>
    </w:p>
    <w:p>
      <w:pPr>
        <w:keepLines/>
        <w:pageBreakBefore w:val="0"/>
        <w:widowControl/>
        <w:kinsoku w:val="0"/>
        <w:wordWrap/>
        <w:overflowPunct/>
        <w:topLinePunct w:val="0"/>
        <w:bidi w:val="0"/>
        <w:adjustRightInd w:val="0"/>
        <w:spacing w:after="435" w:afterLines="100" w:line="590" w:lineRule="exact"/>
        <w:ind w:right="0" w:rightChars="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诚信承诺书</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本人根据</w:t>
      </w:r>
      <w:r>
        <w:rPr>
          <w:rFonts w:hint="eastAsia" w:ascii="仿宋_GB2312" w:hAnsi="仿宋_GB2312" w:eastAsia="仿宋_GB2312" w:cs="仿宋_GB2312"/>
          <w:sz w:val="28"/>
          <w:szCs w:val="21"/>
          <w:u w:val="single"/>
        </w:rPr>
        <w:t xml:space="preserve">            </w:t>
      </w:r>
      <w:r>
        <w:rPr>
          <w:rFonts w:hint="eastAsia" w:ascii="仿宋_GB2312" w:hAnsi="仿宋_GB2312" w:eastAsia="仿宋_GB2312" w:cs="仿宋_GB2312"/>
          <w:sz w:val="28"/>
          <w:szCs w:val="21"/>
        </w:rPr>
        <w:t>立项指南的要求，自愿提交立项申请书，在此郑重承诺：所申报材料和相关内容真实有效，不存在以下违背诚信要求的行为。</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（一）抄袭、剽窃、侵占他人成果；</w:t>
      </w:r>
    </w:p>
    <w:p>
      <w:pPr>
        <w:keepLines w:val="0"/>
        <w:pageBreakBefore w:val="0"/>
        <w:widowControl w:val="0"/>
        <w:kinsoku/>
        <w:wordWrap/>
        <w:overflowPunct/>
        <w:topLinePunct w:val="0"/>
        <w:bidi w:val="0"/>
        <w:adjustRightInd w:val="0"/>
        <w:snapToGrid w:val="0"/>
        <w:spacing w:line="590" w:lineRule="exact"/>
        <w:ind w:right="0" w:rightChars="0" w:firstLine="509" w:firstLineChars="189"/>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（二）编制数据产生过程，伪造、篡改研究数据、图表、结论；</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（三）以故意提供虚假信息等弄虚作假的方式或采取贿赂、利益交换等不正当手段获取项目、资金、奖励、荣誉、职务职称等；</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（四）明知单位本身不符合条件，蓄意作出误导性陈述以通过资格审查；</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（五）明知数据的产生、取得不符合规范，存在严重瑕疵或逻辑错误，仍予以采用并提及成果。</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（六）其他失信行为。</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如有违反，本人/本单位愿接受</w:t>
      </w:r>
      <w:r>
        <w:rPr>
          <w:rFonts w:hint="eastAsia" w:ascii="仿宋_GB2312" w:hAnsi="仿宋_GB2312" w:eastAsia="仿宋_GB2312" w:cs="仿宋_GB2312"/>
          <w:sz w:val="28"/>
          <w:szCs w:val="21"/>
          <w:lang w:eastAsia="zh-Hans"/>
        </w:rPr>
        <w:t>广东省农业农村厅</w:t>
      </w:r>
      <w:r>
        <w:rPr>
          <w:rFonts w:hint="eastAsia" w:ascii="仿宋_GB2312" w:hAnsi="仿宋_GB2312" w:eastAsia="仿宋_GB2312" w:cs="仿宋_GB2312"/>
          <w:sz w:val="28"/>
          <w:szCs w:val="21"/>
        </w:rPr>
        <w:t>做出的各项处理决定，包括但不限于停拨或核减资金，追回</w:t>
      </w:r>
      <w:r>
        <w:rPr>
          <w:rFonts w:hint="eastAsia" w:ascii="仿宋_GB2312" w:hAnsi="仿宋_GB2312" w:eastAsia="仿宋_GB2312" w:cs="仿宋_GB2312"/>
          <w:sz w:val="28"/>
          <w:szCs w:val="21"/>
          <w:lang w:eastAsia="zh-Hans"/>
        </w:rPr>
        <w:t>项目</w:t>
      </w:r>
      <w:r>
        <w:rPr>
          <w:rFonts w:hint="eastAsia" w:ascii="仿宋_GB2312" w:hAnsi="仿宋_GB2312" w:eastAsia="仿宋_GB2312" w:cs="仿宋_GB2312"/>
          <w:sz w:val="28"/>
          <w:szCs w:val="21"/>
        </w:rPr>
        <w:t>资金，取消五年内</w:t>
      </w:r>
      <w:r>
        <w:rPr>
          <w:rFonts w:hint="eastAsia" w:ascii="仿宋_GB2312" w:hAnsi="仿宋_GB2312" w:eastAsia="仿宋_GB2312" w:cs="仿宋_GB2312"/>
          <w:sz w:val="28"/>
          <w:szCs w:val="21"/>
          <w:lang w:eastAsia="zh-Hans"/>
        </w:rPr>
        <w:t>广东省农业农村厅</w:t>
      </w:r>
      <w:r>
        <w:rPr>
          <w:rFonts w:hint="eastAsia" w:ascii="仿宋_GB2312" w:hAnsi="仿宋_GB2312" w:eastAsia="仿宋_GB2312" w:cs="仿宋_GB2312"/>
          <w:sz w:val="28"/>
          <w:szCs w:val="21"/>
        </w:rPr>
        <w:t>项目申报资格，记入</w:t>
      </w:r>
      <w:r>
        <w:rPr>
          <w:rFonts w:hint="eastAsia" w:ascii="仿宋_GB2312" w:hAnsi="仿宋_GB2312" w:eastAsia="仿宋_GB2312" w:cs="仿宋_GB2312"/>
          <w:sz w:val="28"/>
          <w:szCs w:val="21"/>
          <w:lang w:eastAsia="zh-Hans"/>
        </w:rPr>
        <w:t>广东省农业农村厅</w:t>
      </w:r>
      <w:r>
        <w:rPr>
          <w:rFonts w:hint="eastAsia" w:ascii="仿宋_GB2312" w:hAnsi="仿宋_GB2312" w:eastAsia="仿宋_GB2312" w:cs="仿宋_GB2312"/>
          <w:sz w:val="28"/>
          <w:szCs w:val="21"/>
        </w:rPr>
        <w:t>诚信异常名录等。</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p>
    <w:p>
      <w:pPr>
        <w:keepLines w:val="0"/>
        <w:pageBreakBefore w:val="0"/>
        <w:widowControl w:val="0"/>
        <w:kinsoku/>
        <w:wordWrap/>
        <w:overflowPunct/>
        <w:topLinePunct w:val="0"/>
        <w:bidi w:val="0"/>
        <w:adjustRightInd w:val="0"/>
        <w:snapToGrid w:val="0"/>
        <w:spacing w:line="590" w:lineRule="exact"/>
        <w:ind w:right="0" w:rightChars="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 xml:space="preserve">        申报单位法定代表人或授权代表人（签名）：</w:t>
      </w:r>
    </w:p>
    <w:p>
      <w:pPr>
        <w:keepLines w:val="0"/>
        <w:pageBreakBefore w:val="0"/>
        <w:widowControl w:val="0"/>
        <w:kinsoku/>
        <w:wordWrap/>
        <w:overflowPunct/>
        <w:topLinePunct w:val="0"/>
        <w:bidi w:val="0"/>
        <w:adjustRightInd w:val="0"/>
        <w:snapToGrid w:val="0"/>
        <w:spacing w:line="590" w:lineRule="exact"/>
        <w:ind w:right="0" w:rightChars="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 xml:space="preserve">                            </w:t>
      </w:r>
      <w:r>
        <w:rPr>
          <w:rFonts w:hint="eastAsia" w:ascii="仿宋_GB2312" w:hAnsi="仿宋_GB2312" w:eastAsia="仿宋_GB2312" w:cs="仿宋_GB2312"/>
          <w:sz w:val="28"/>
          <w:szCs w:val="21"/>
          <w:lang w:eastAsia="zh-Hans"/>
        </w:rPr>
        <w:t>项目</w:t>
      </w:r>
      <w:r>
        <w:rPr>
          <w:rFonts w:hint="eastAsia" w:ascii="仿宋_GB2312" w:hAnsi="仿宋_GB2312" w:eastAsia="仿宋_GB2312" w:cs="仿宋_GB2312"/>
          <w:sz w:val="28"/>
          <w:szCs w:val="21"/>
        </w:rPr>
        <w:t>负责人（签名）：</w:t>
      </w:r>
    </w:p>
    <w:p>
      <w:pPr>
        <w:keepLines/>
        <w:pageBreakBefore w:val="0"/>
        <w:widowControl/>
        <w:kinsoku w:val="0"/>
        <w:wordWrap/>
        <w:overflowPunct/>
        <w:topLinePunct w:val="0"/>
        <w:bidi w:val="0"/>
        <w:adjustRightInd w:val="0"/>
        <w:spacing w:after="0" w:afterLines="0" w:line="590" w:lineRule="exact"/>
        <w:ind w:right="0" w:rightChars="0" w:firstLine="0" w:firstLineChars="0"/>
        <w:jc w:val="center"/>
        <w:textAlignment w:val="auto"/>
        <w:rPr>
          <w:rFonts w:hint="eastAsia" w:ascii="方正小标宋简体" w:hAnsi="方正小标宋简体" w:eastAsia="方正小标宋简体" w:cs="方正小标宋简体"/>
          <w:sz w:val="40"/>
          <w:szCs w:val="40"/>
        </w:rPr>
      </w:pPr>
      <w:r>
        <w:rPr>
          <w:rFonts w:hint="eastAsia" w:ascii="仿宋_GB2312" w:hAnsi="仿宋_GB2312" w:eastAsia="仿宋_GB2312" w:cs="仿宋_GB2312"/>
          <w:sz w:val="24"/>
          <w:szCs w:val="20"/>
        </w:rPr>
        <w:t xml:space="preserve">                    年 </w:t>
      </w:r>
      <w:r>
        <w:rPr>
          <w:rFonts w:hint="eastAsia" w:ascii="仿宋_GB2312" w:hAnsi="仿宋_GB2312" w:eastAsia="仿宋_GB2312" w:cs="仿宋_GB2312"/>
          <w:sz w:val="24"/>
          <w:szCs w:val="20"/>
          <w:lang w:val="en-US" w:eastAsia="zh-CN"/>
        </w:rPr>
        <w:t xml:space="preserve"> </w:t>
      </w:r>
      <w:r>
        <w:rPr>
          <w:rFonts w:hint="eastAsia" w:ascii="仿宋_GB2312" w:hAnsi="仿宋_GB2312" w:eastAsia="仿宋_GB2312" w:cs="仿宋_GB2312"/>
          <w:sz w:val="24"/>
          <w:szCs w:val="20"/>
        </w:rPr>
        <w:t xml:space="preserve"> 月 </w:t>
      </w:r>
      <w:r>
        <w:rPr>
          <w:rFonts w:hint="eastAsia" w:ascii="仿宋_GB2312" w:hAnsi="仿宋_GB2312" w:eastAsia="仿宋_GB2312" w:cs="仿宋_GB2312"/>
          <w:sz w:val="24"/>
          <w:szCs w:val="20"/>
          <w:lang w:val="en-US" w:eastAsia="zh-CN"/>
        </w:rPr>
        <w:t xml:space="preserve"> </w:t>
      </w:r>
      <w:r>
        <w:rPr>
          <w:rFonts w:hint="eastAsia" w:ascii="仿宋_GB2312" w:hAnsi="仿宋_GB2312" w:eastAsia="仿宋_GB2312" w:cs="仿宋_GB2312"/>
          <w:sz w:val="24"/>
          <w:szCs w:val="20"/>
        </w:rPr>
        <w:t xml:space="preserve"> 日</w:t>
      </w:r>
      <w:r>
        <w:rPr>
          <w:rFonts w:hint="eastAsia" w:ascii="仿宋_GB2312" w:hAnsi="仿宋_GB2312" w:eastAsia="仿宋_GB2312" w:cs="仿宋_GB2312"/>
          <w:b/>
          <w:color w:val="000000"/>
          <w:kern w:val="0"/>
          <w:sz w:val="22"/>
          <w:szCs w:val="22"/>
          <w:lang w:bidi="ar"/>
        </w:rPr>
        <w:br w:type="page"/>
      </w:r>
      <w:r>
        <w:rPr>
          <w:rFonts w:hint="eastAsia" w:ascii="方正小标宋简体" w:hAnsi="方正小标宋简体" w:eastAsia="方正小标宋简体" w:cs="方正小标宋简体"/>
          <w:sz w:val="40"/>
          <w:szCs w:val="40"/>
        </w:rPr>
        <w:t>知识产权合规性声明</w:t>
      </w:r>
    </w:p>
    <w:p>
      <w:pPr>
        <w:keepLines/>
        <w:pageBreakBefore w:val="0"/>
        <w:widowControl/>
        <w:kinsoku w:val="0"/>
        <w:wordWrap/>
        <w:overflowPunct/>
        <w:topLinePunct w:val="0"/>
        <w:bidi w:val="0"/>
        <w:adjustRightInd w:val="0"/>
        <w:spacing w:line="590" w:lineRule="exact"/>
        <w:ind w:right="0" w:rightChars="0" w:firstLine="538" w:firstLineChars="200"/>
        <w:textAlignment w:val="auto"/>
        <w:rPr>
          <w:rFonts w:hint="eastAsia" w:ascii="仿宋" w:hAnsi="仿宋" w:eastAsia="仿宋" w:cs="华文仿宋"/>
          <w:sz w:val="28"/>
          <w:szCs w:val="28"/>
        </w:rPr>
      </w:pP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（一）提交虚假资料生成的研究成果；</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（二）拒不执行生效的知识产权行政处理决定或者司法裁判；</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（三）剽窃、侵犯他人数据成果和知识产权；</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（四）项目本身拟取得的数据或成果已在本单位承担的其他项目中取得，项目成果归属存在争议。</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（五）未经许可的情况下，向本单位上级部门或其他单位提供项目实施取得的数据、成果，造成内部工作资料外泄的。</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做出的各项处理决定，包括但不限于停拨或核减资金，追回</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资金，取消五年内</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申报单位法定代表人或授权代表人（签名）：</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负责人（签名）：</w:t>
      </w:r>
    </w:p>
    <w:p>
      <w:pPr>
        <w:keepLines/>
        <w:widowControl/>
        <w:kinsoku/>
        <w:wordWrap/>
        <w:overflowPunct/>
        <w:spacing w:line="590" w:lineRule="exact"/>
        <w:ind w:firstLine="538" w:firstLineChars="200"/>
      </w:pPr>
      <w:r>
        <w:rPr>
          <w:rFonts w:hint="eastAsia" w:ascii="仿宋_GB2312" w:hAnsi="仿宋_GB2312" w:eastAsia="仿宋_GB2312" w:cs="仿宋_GB2312"/>
          <w:sz w:val="28"/>
          <w:szCs w:val="28"/>
        </w:rPr>
        <w:t xml:space="preserve">                             年  月  </w:t>
      </w:r>
      <w:r>
        <w:rPr>
          <w:rFonts w:hint="eastAsia" w:ascii="仿宋_GB2312" w:hAnsi="仿宋_GB2312" w:eastAsia="仿宋_GB2312" w:cs="仿宋_GB2312"/>
          <w:sz w:val="28"/>
          <w:szCs w:val="28"/>
          <w:lang w:eastAsia="zh-CN"/>
        </w:rPr>
        <w:t>日</w:t>
      </w:r>
    </w:p>
    <w:p>
      <w:pPr>
        <w:keepLines w:val="0"/>
        <w:widowControl w:val="0"/>
        <w:kinsoku/>
        <w:wordWrap/>
        <w:overflowPunct/>
        <w:adjustRightInd w:val="0"/>
        <w:snapToGrid w:val="0"/>
        <w:spacing w:line="590" w:lineRule="exact"/>
        <w:ind w:firstLine="0" w:firstLineChars="0"/>
        <w:rPr>
          <w:rFonts w:hint="eastAsia" w:ascii="黑体" w:hAnsi="黑体" w:eastAsia="黑体" w:cs="黑体"/>
          <w:bCs/>
          <w:kern w:val="0"/>
          <w:sz w:val="28"/>
          <w:szCs w:val="28"/>
        </w:rPr>
      </w:pPr>
      <w:r>
        <w:rPr>
          <w:rFonts w:hint="eastAsia" w:ascii="宋体" w:hAnsi="宋体" w:cs="仿宋_GB2312"/>
          <w:b/>
          <w:color w:val="000000"/>
          <w:kern w:val="0"/>
          <w:sz w:val="22"/>
          <w:szCs w:val="22"/>
          <w:lang w:bidi="ar"/>
        </w:rPr>
        <w:br w:type="page"/>
      </w:r>
      <w:r>
        <w:rPr>
          <w:rFonts w:hint="eastAsia" w:ascii="宋体" w:hAnsi="宋体" w:cs="仿宋_GB2312"/>
          <w:b/>
          <w:color w:val="000000"/>
          <w:kern w:val="0"/>
          <w:sz w:val="28"/>
          <w:szCs w:val="28"/>
          <w:lang w:val="en-US" w:eastAsia="zh-CN" w:bidi="ar"/>
        </w:rPr>
        <w:t xml:space="preserve">    </w:t>
      </w:r>
      <w:r>
        <w:rPr>
          <w:rFonts w:hint="eastAsia" w:ascii="黑体" w:hAnsi="黑体" w:eastAsia="黑体" w:cs="黑体"/>
          <w:bCs/>
          <w:kern w:val="0"/>
          <w:sz w:val="28"/>
          <w:szCs w:val="28"/>
        </w:rPr>
        <w:t>一、项目单位概况</w:t>
      </w:r>
    </w:p>
    <w:p>
      <w:pPr>
        <w:keepLines w:val="0"/>
        <w:widowControl w:val="0"/>
        <w:kinsoku/>
        <w:wordWrap/>
        <w:overflowPunct/>
        <w:adjustRightInd w:val="0"/>
        <w:snapToGrid w:val="0"/>
        <w:spacing w:line="590" w:lineRule="exact"/>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包含单位性质、隶属关系、相关职能业务范围；</w:t>
      </w:r>
    </w:p>
    <w:p>
      <w:pPr>
        <w:keepLines w:val="0"/>
        <w:widowControl w:val="0"/>
        <w:kinsoku/>
        <w:wordWrap/>
        <w:overflowPunct/>
        <w:adjustRightInd w:val="0"/>
        <w:snapToGrid w:val="0"/>
        <w:spacing w:line="590" w:lineRule="exact"/>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人员状况，包括</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负责人及骨干人员情况和职责,</w:t>
      </w:r>
      <w:r>
        <w:rPr>
          <w:rFonts w:hint="eastAsia" w:ascii="仿宋_GB2312" w:hAnsi="仿宋_GB2312" w:eastAsia="仿宋_GB2312" w:cs="仿宋_GB2312"/>
          <w:color w:val="auto"/>
          <w:sz w:val="28"/>
          <w:szCs w:val="28"/>
          <w:lang w:eastAsia="zh-CN"/>
        </w:rPr>
        <w:t>其中</w:t>
      </w:r>
      <w:r>
        <w:rPr>
          <w:rFonts w:hint="eastAsia" w:ascii="仿宋_GB2312" w:hAnsi="仿宋_GB2312" w:eastAsia="仿宋_GB2312" w:cs="仿宋_GB2312"/>
          <w:color w:val="auto"/>
          <w:sz w:val="28"/>
          <w:szCs w:val="28"/>
        </w:rPr>
        <w:t>人员情况应增加列表说明;</w:t>
      </w:r>
    </w:p>
    <w:p>
      <w:pPr>
        <w:keepLines w:val="0"/>
        <w:widowControl w:val="0"/>
        <w:kinsoku/>
        <w:wordWrap/>
        <w:overflowPunct/>
        <w:adjustRightInd w:val="0"/>
        <w:snapToGrid w:val="0"/>
        <w:spacing w:line="590" w:lineRule="exact"/>
        <w:ind w:firstLine="538"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3、平台、基础设施和仪器设备等条件；</w:t>
      </w:r>
    </w:p>
    <w:p>
      <w:pPr>
        <w:keepLines w:val="0"/>
        <w:widowControl w:val="0"/>
        <w:kinsoku/>
        <w:wordWrap/>
        <w:overflowPunct/>
        <w:adjustRightInd w:val="0"/>
        <w:snapToGrid w:val="0"/>
        <w:spacing w:line="590" w:lineRule="exact"/>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从事过的相关研究和承担的同类项目经验、发明专利及获奖其概况，在国内外主要刊物上发表的与本项目相关的研究成果情况。</w:t>
      </w:r>
    </w:p>
    <w:p>
      <w:pPr>
        <w:keepNext w:val="0"/>
        <w:keepLines/>
        <w:pageBreakBefore w:val="0"/>
        <w:widowControl/>
        <w:kinsoku w:val="0"/>
        <w:wordWrap/>
        <w:overflowPunct/>
        <w:topLinePunct w:val="0"/>
        <w:autoSpaceDE/>
        <w:autoSpaceDN/>
        <w:bidi w:val="0"/>
        <w:adjustRightInd w:val="0"/>
        <w:snapToGrid w:val="0"/>
        <w:spacing w:line="590" w:lineRule="exact"/>
        <w:ind w:firstLine="618"/>
        <w:jc w:val="center"/>
        <w:textAlignment w:val="auto"/>
        <w:rPr>
          <w:rFonts w:ascii="Times New Roman" w:hAnsi="Times New Roman" w:eastAsia="黑体"/>
          <w:sz w:val="28"/>
        </w:rPr>
      </w:pPr>
      <w:r>
        <w:rPr>
          <w:rFonts w:hint="eastAsia" w:eastAsia="黑体"/>
          <w:bCs/>
          <w:sz w:val="28"/>
        </w:rPr>
        <w:br w:type="page"/>
      </w:r>
      <w:r>
        <w:rPr>
          <w:rFonts w:hint="eastAsia" w:ascii="方正小标宋简体" w:hAnsi="方正小标宋简体" w:eastAsia="方正小标宋简体" w:cs="方正小标宋简体"/>
          <w:bCs/>
          <w:sz w:val="32"/>
          <w:szCs w:val="32"/>
        </w:rPr>
        <w:t>项目</w:t>
      </w:r>
      <w:r>
        <w:rPr>
          <w:rFonts w:hint="eastAsia" w:ascii="方正小标宋简体" w:hAnsi="方正小标宋简体" w:eastAsia="方正小标宋简体" w:cs="方正小标宋简体"/>
          <w:sz w:val="32"/>
          <w:szCs w:val="32"/>
        </w:rPr>
        <w:t>承担单位基本情况表</w:t>
      </w:r>
    </w:p>
    <w:tbl>
      <w:tblPr>
        <w:tblStyle w:val="8"/>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noWrap w:val="0"/>
            <w:vAlign w:val="center"/>
          </w:tcPr>
          <w:p>
            <w:pPr>
              <w:keepLines/>
              <w:widowControl/>
              <w:kinsoku w:val="0"/>
              <w:wordWrap/>
              <w:overflowPunct/>
              <w:autoSpaceDE/>
              <w:autoSpaceDN/>
              <w:adjustRightInd w:val="0"/>
              <w:snapToGrid w:val="0"/>
              <w:spacing w:line="240" w:lineRule="auto"/>
              <w:ind w:left="1316" w:hanging="1323" w:hangingChars="700"/>
              <w:rPr>
                <w:rFonts w:ascii="Times New Roman" w:hAnsi="Times New Roman"/>
                <w:color w:val="000000"/>
                <w:sz w:val="20"/>
                <w:szCs w:val="20"/>
              </w:rPr>
            </w:pPr>
            <w:r>
              <w:rPr>
                <w:rFonts w:hint="eastAsia" w:ascii="Times New Roman" w:hAnsi="Times New Roman"/>
                <w:color w:val="000000"/>
                <w:sz w:val="20"/>
                <w:szCs w:val="20"/>
              </w:rPr>
              <w:t xml:space="preserve">填表说明：1. </w:t>
            </w:r>
            <w:r>
              <w:rPr>
                <w:rFonts w:hint="eastAsia" w:ascii="Times New Roman" w:hAnsi="Times New Roman"/>
                <w:color w:val="000000"/>
                <w:sz w:val="20"/>
              </w:rPr>
              <w:t>组织机构代码指企事业单位国家标准代码，</w:t>
            </w:r>
            <w:r>
              <w:rPr>
                <w:rFonts w:hint="eastAsia" w:ascii="Times New Roman" w:hAnsi="Times New Roman"/>
                <w:color w:val="000000"/>
                <w:sz w:val="20"/>
                <w:szCs w:val="20"/>
              </w:rPr>
              <w:t>单位若已三证合一请填写单位社会信用代码,</w:t>
            </w:r>
            <w:r>
              <w:rPr>
                <w:rFonts w:hint="eastAsia" w:ascii="Times New Roman" w:hAnsi="Times New Roman"/>
                <w:color w:val="000000"/>
                <w:sz w:val="20"/>
              </w:rPr>
              <w:t xml:space="preserve">            无组织机构代码的单位填写“000000000”</w:t>
            </w:r>
            <w:r>
              <w:rPr>
                <w:rFonts w:hint="eastAsia" w:ascii="Times New Roman" w:hAnsi="Times New Roman"/>
                <w:color w:val="000000"/>
                <w:sz w:val="20"/>
                <w:szCs w:val="20"/>
              </w:rPr>
              <w:t xml:space="preserve">； </w:t>
            </w:r>
          </w:p>
          <w:p>
            <w:pPr>
              <w:keepLines/>
              <w:widowControl/>
              <w:kinsoku w:val="0"/>
              <w:wordWrap/>
              <w:overflowPunct/>
              <w:autoSpaceDE/>
              <w:autoSpaceDN/>
              <w:adjustRightInd w:val="0"/>
              <w:snapToGrid w:val="0"/>
              <w:spacing w:line="240" w:lineRule="auto"/>
              <w:rPr>
                <w:rFonts w:ascii="Times New Roman" w:hAnsi="Times New Roman"/>
                <w:color w:val="000000"/>
                <w:sz w:val="20"/>
                <w:szCs w:val="20"/>
              </w:rPr>
            </w:pPr>
            <w:r>
              <w:rPr>
                <w:rFonts w:hint="eastAsia" w:ascii="Times New Roman" w:hAnsi="Times New Roman"/>
                <w:color w:val="000000"/>
                <w:sz w:val="20"/>
                <w:szCs w:val="20"/>
              </w:rPr>
              <w:t xml:space="preserve">          2. 单位公章名称必须与单位名称一致；</w:t>
            </w:r>
          </w:p>
          <w:p>
            <w:pPr>
              <w:keepLines/>
              <w:widowControl/>
              <w:kinsoku w:val="0"/>
              <w:wordWrap/>
              <w:overflowPunct/>
              <w:autoSpaceDE/>
              <w:autoSpaceDN/>
              <w:adjustRightInd w:val="0"/>
              <w:snapToGrid w:val="0"/>
              <w:spacing w:line="240" w:lineRule="auto"/>
              <w:rPr>
                <w:rFonts w:ascii="Times New Roman" w:hAnsi="Times New Roman" w:eastAsia="楷体_GB2312"/>
                <w:color w:val="000000"/>
                <w:sz w:val="20"/>
                <w:szCs w:val="20"/>
              </w:rPr>
            </w:pPr>
            <w:r>
              <w:rPr>
                <w:rFonts w:hint="eastAsia" w:ascii="Times New Roman" w:hAnsi="Times New Roman"/>
                <w:color w:val="000000"/>
                <w:sz w:val="20"/>
                <w:szCs w:val="20"/>
              </w:rPr>
              <w:t xml:space="preserve">          3. 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项目牵头承担单位</w:t>
            </w: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单位名称</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单位类别</w:t>
            </w:r>
          </w:p>
        </w:tc>
        <w:tc>
          <w:tcPr>
            <w:tcW w:w="6413" w:type="dxa"/>
            <w:gridSpan w:val="8"/>
            <w:noWrap w:val="0"/>
            <w:vAlign w:val="center"/>
          </w:tcPr>
          <w:p>
            <w:pPr>
              <w:keepLines/>
              <w:widowControl/>
              <w:tabs>
                <w:tab w:val="left" w:pos="360"/>
              </w:tabs>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单位主管部门</w:t>
            </w:r>
          </w:p>
        </w:tc>
        <w:tc>
          <w:tcPr>
            <w:tcW w:w="3964" w:type="dxa"/>
            <w:gridSpan w:val="4"/>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134" w:type="dxa"/>
            <w:gridSpan w:val="3"/>
            <w:noWrap w:val="0"/>
            <w:vAlign w:val="center"/>
          </w:tcPr>
          <w:p>
            <w:pPr>
              <w:keepLines/>
              <w:widowControl/>
              <w:kinsoku w:val="0"/>
              <w:wordWrap/>
              <w:overflowPunct/>
              <w:autoSpaceDE/>
              <w:autoSpaceDN/>
              <w:adjustRightInd w:val="0"/>
              <w:snapToGrid w:val="0"/>
              <w:spacing w:line="240"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隶属关系</w:t>
            </w:r>
          </w:p>
        </w:tc>
        <w:tc>
          <w:tcPr>
            <w:tcW w:w="1315" w:type="dxa"/>
            <w:noWrap w:val="0"/>
            <w:vAlign w:val="center"/>
          </w:tcPr>
          <w:p>
            <w:pPr>
              <w:keepLines/>
              <w:widowControl/>
              <w:kinsoku w:val="0"/>
              <w:wordWrap/>
              <w:overflowPunct/>
              <w:autoSpaceDE/>
              <w:autoSpaceDN/>
              <w:adjustRightInd w:val="0"/>
              <w:snapToGrid w:val="0"/>
              <w:spacing w:line="240" w:lineRule="auto"/>
              <w:jc w:val="center"/>
              <w:rPr>
                <w:rFonts w:ascii="Times New Roman" w:hAnsi="Times New Roman" w:cs="Arial"/>
                <w:color w:val="000000"/>
                <w:kern w:val="0"/>
                <w:sz w:val="20"/>
                <w:szCs w:val="20"/>
              </w:rPr>
            </w:pPr>
            <w:r>
              <w:rPr>
                <w:rFonts w:hint="eastAsia" w:ascii="Times New Roman" w:hAnsi="Times New Roman" w:cs="Arial"/>
                <w:color w:val="000000"/>
                <w:kern w:val="0"/>
                <w:sz w:val="20"/>
                <w:szCs w:val="20"/>
              </w:rPr>
              <w:t>中央</w:t>
            </w:r>
            <w:r>
              <w:rPr>
                <w:rFonts w:ascii="Times New Roman" w:hAnsi="Times New Roman" w:cs="Arial"/>
                <w:color w:val="000000"/>
                <w:kern w:val="0"/>
                <w:sz w:val="20"/>
                <w:szCs w:val="20"/>
              </w:rPr>
              <w:t>/</w:t>
            </w:r>
            <w:r>
              <w:rPr>
                <w:rFonts w:hint="eastAsia" w:ascii="Times New Roman" w:hAnsi="Times New Roman"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单位组织机构代码</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单位法定代表人姓名</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单位开户名称</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开户银行（全称）</w:t>
            </w:r>
          </w:p>
        </w:tc>
        <w:tc>
          <w:tcPr>
            <w:tcW w:w="2158"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2116"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汇入地点</w:t>
            </w:r>
          </w:p>
        </w:tc>
        <w:tc>
          <w:tcPr>
            <w:tcW w:w="2139"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银行账号</w:t>
            </w:r>
          </w:p>
        </w:tc>
        <w:tc>
          <w:tcPr>
            <w:tcW w:w="2158"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2116"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银行机构代码</w:t>
            </w:r>
          </w:p>
        </w:tc>
        <w:tc>
          <w:tcPr>
            <w:tcW w:w="2139"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单位所属地区</w:t>
            </w:r>
          </w:p>
        </w:tc>
        <w:tc>
          <w:tcPr>
            <w:tcW w:w="2158" w:type="dxa"/>
            <w:gridSpan w:val="2"/>
            <w:noWrap w:val="0"/>
            <w:vAlign w:val="center"/>
          </w:tcPr>
          <w:p>
            <w:pPr>
              <w:keepLines/>
              <w:widowControl/>
              <w:kinsoku w:val="0"/>
              <w:wordWrap/>
              <w:overflowPunct/>
              <w:autoSpaceDE/>
              <w:autoSpaceDN/>
              <w:adjustRightInd w:val="0"/>
              <w:snapToGrid w:val="0"/>
              <w:spacing w:line="240" w:lineRule="auto"/>
              <w:jc w:val="center"/>
              <w:rPr>
                <w:rFonts w:ascii="Times New Roman" w:hAnsi="Times New Roman"/>
                <w:sz w:val="20"/>
              </w:rPr>
            </w:pPr>
            <w:r>
              <w:rPr>
                <w:rFonts w:hint="eastAsia" w:ascii="Times New Roman" w:hAnsi="Times New Roman"/>
                <w:sz w:val="20"/>
              </w:rPr>
              <w:t>省</w:t>
            </w:r>
          </w:p>
        </w:tc>
        <w:tc>
          <w:tcPr>
            <w:tcW w:w="1806" w:type="dxa"/>
            <w:gridSpan w:val="2"/>
            <w:noWrap w:val="0"/>
            <w:vAlign w:val="center"/>
          </w:tcPr>
          <w:p>
            <w:pPr>
              <w:keepLines/>
              <w:widowControl/>
              <w:kinsoku w:val="0"/>
              <w:wordWrap/>
              <w:overflowPunct/>
              <w:adjustRightInd w:val="0"/>
              <w:snapToGrid w:val="0"/>
              <w:spacing w:line="240"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地市</w:t>
            </w:r>
          </w:p>
        </w:tc>
        <w:tc>
          <w:tcPr>
            <w:tcW w:w="2449" w:type="dxa"/>
            <w:gridSpan w:val="4"/>
            <w:noWrap w:val="0"/>
            <w:vAlign w:val="center"/>
          </w:tcPr>
          <w:p>
            <w:pPr>
              <w:keepLines/>
              <w:widowControl/>
              <w:kinsoku w:val="0"/>
              <w:wordWrap/>
              <w:overflowPunct/>
              <w:adjustRightInd w:val="0"/>
              <w:snapToGrid w:val="0"/>
              <w:spacing w:line="240"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电子邮箱</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通信地址</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邮政编码</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相关责任人</w:t>
            </w:r>
          </w:p>
        </w:tc>
        <w:tc>
          <w:tcPr>
            <w:tcW w:w="2129" w:type="dxa"/>
            <w:vMerge w:val="restart"/>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项目负责人</w:t>
            </w: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姓名</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身份证号码</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工作单位</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电话号码</w:t>
            </w:r>
          </w:p>
        </w:tc>
        <w:tc>
          <w:tcPr>
            <w:tcW w:w="1775"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467"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手机号码</w:t>
            </w:r>
          </w:p>
        </w:tc>
        <w:tc>
          <w:tcPr>
            <w:tcW w:w="1830"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电子邮箱</w:t>
            </w:r>
          </w:p>
        </w:tc>
        <w:tc>
          <w:tcPr>
            <w:tcW w:w="1775"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467"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邮政编码</w:t>
            </w:r>
          </w:p>
        </w:tc>
        <w:tc>
          <w:tcPr>
            <w:tcW w:w="1830"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通信地址</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restart"/>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项目联系人</w:t>
            </w: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姓名</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电话号码</w:t>
            </w:r>
          </w:p>
        </w:tc>
        <w:tc>
          <w:tcPr>
            <w:tcW w:w="1775"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467"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手机号码</w:t>
            </w:r>
          </w:p>
        </w:tc>
        <w:tc>
          <w:tcPr>
            <w:tcW w:w="1830"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传真号码</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电子邮箱</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restart"/>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财务负责人</w:t>
            </w: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姓名</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身份证号码</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电话号码</w:t>
            </w:r>
          </w:p>
        </w:tc>
        <w:tc>
          <w:tcPr>
            <w:tcW w:w="1775"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467"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手机号码</w:t>
            </w:r>
          </w:p>
        </w:tc>
        <w:tc>
          <w:tcPr>
            <w:tcW w:w="1830"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电子邮箱</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bl>
    <w:p>
      <w:pPr>
        <w:keepLines/>
        <w:widowControl/>
        <w:kinsoku w:val="0"/>
        <w:wordWrap/>
        <w:overflowPunct/>
        <w:adjustRightInd w:val="0"/>
        <w:snapToGrid w:val="0"/>
        <w:spacing w:line="590" w:lineRule="exact"/>
        <w:rPr>
          <w:rFonts w:hint="eastAsia" w:ascii="Times New Roman" w:hAnsi="Times New Roman" w:eastAsia="黑体" w:cs="黑体"/>
          <w:bCs/>
          <w:kern w:val="0"/>
          <w:sz w:val="32"/>
          <w:szCs w:val="32"/>
        </w:rPr>
        <w:sectPr>
          <w:headerReference r:id="rId3" w:type="default"/>
          <w:footerReference r:id="rId4" w:type="default"/>
          <w:pgSz w:w="11906" w:h="16838"/>
          <w:pgMar w:top="1871" w:right="1531" w:bottom="1871" w:left="1531" w:header="851" w:footer="1417" w:gutter="0"/>
          <w:pgBorders>
            <w:top w:val="none" w:sz="0" w:space="0"/>
            <w:left w:val="none" w:sz="0" w:space="0"/>
            <w:bottom w:val="none" w:sz="0" w:space="0"/>
            <w:right w:val="none" w:sz="0" w:space="0"/>
          </w:pgBorders>
          <w:pgNumType w:fmt="decimal" w:start="2"/>
          <w:cols w:space="720" w:num="1"/>
          <w:rtlGutter w:val="0"/>
          <w:docGrid w:type="linesAndChars" w:linePitch="453" w:charSpace="-2457"/>
        </w:sectPr>
      </w:pPr>
    </w:p>
    <w:p>
      <w:pPr>
        <w:keepLines/>
        <w:pageBreakBefore w:val="0"/>
        <w:widowControl/>
        <w:kinsoku w:val="0"/>
        <w:wordWrap/>
        <w:overflowPunct/>
        <w:topLinePunct w:val="0"/>
        <w:bidi w:val="0"/>
        <w:adjustRightInd w:val="0"/>
        <w:spacing w:line="590" w:lineRule="exact"/>
        <w:ind w:right="0" w:rightChars="0" w:firstLine="560" w:firstLineChars="200"/>
        <w:textAlignment w:val="auto"/>
        <w:outlineLvl w:val="0"/>
        <w:rPr>
          <w:rFonts w:hint="eastAsia" w:ascii="黑体" w:hAnsi="黑体" w:eastAsia="黑体" w:cs="黑体"/>
          <w:bCs/>
          <w:kern w:val="0"/>
          <w:sz w:val="28"/>
          <w:szCs w:val="28"/>
          <w:lang w:eastAsia="zh-CN"/>
        </w:rPr>
      </w:pPr>
      <w:r>
        <w:rPr>
          <w:rFonts w:hint="eastAsia" w:ascii="黑体" w:hAnsi="黑体" w:eastAsia="黑体" w:cs="黑体"/>
          <w:bCs/>
          <w:kern w:val="0"/>
          <w:sz w:val="28"/>
          <w:szCs w:val="28"/>
        </w:rPr>
        <w:t>二、项目</w:t>
      </w:r>
      <w:r>
        <w:rPr>
          <w:rFonts w:hint="eastAsia" w:ascii="黑体" w:hAnsi="黑体" w:eastAsia="黑体" w:cs="黑体"/>
          <w:bCs/>
          <w:kern w:val="0"/>
          <w:sz w:val="28"/>
          <w:szCs w:val="28"/>
          <w:lang w:eastAsia="zh-CN"/>
        </w:rPr>
        <w:t>概况</w:t>
      </w:r>
    </w:p>
    <w:p>
      <w:pPr>
        <w:keepLines/>
        <w:pageBreakBefore w:val="0"/>
        <w:widowControl/>
        <w:kinsoku w:val="0"/>
        <w:wordWrap/>
        <w:overflowPunct/>
        <w:topLinePunct w:val="0"/>
        <w:bidi w:val="0"/>
        <w:adjustRightInd w:val="0"/>
        <w:snapToGrid/>
        <w:spacing w:line="590" w:lineRule="exact"/>
        <w:ind w:right="0" w:rightChars="0" w:firstLine="560" w:firstLineChars="200"/>
        <w:textAlignment w:val="auto"/>
        <w:outlineLvl w:val="9"/>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1、项目建设的背景意义、必要性和可行性</w:t>
      </w:r>
    </w:p>
    <w:p>
      <w:pPr>
        <w:keepLines/>
        <w:pageBreakBefore w:val="0"/>
        <w:widowControl/>
        <w:kinsoku w:val="0"/>
        <w:wordWrap/>
        <w:overflowPunct/>
        <w:topLinePunct w:val="0"/>
        <w:bidi w:val="0"/>
        <w:adjustRightInd w:val="0"/>
        <w:snapToGrid/>
        <w:spacing w:line="590" w:lineRule="exact"/>
        <w:ind w:right="0" w:rightChars="0" w:firstLine="560" w:firstLineChars="200"/>
        <w:textAlignment w:val="auto"/>
        <w:outlineLvl w:val="9"/>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2、项目建设地点</w:t>
      </w:r>
    </w:p>
    <w:p>
      <w:pPr>
        <w:keepLines/>
        <w:pageBreakBefore w:val="0"/>
        <w:widowControl/>
        <w:kinsoku w:val="0"/>
        <w:wordWrap/>
        <w:overflowPunct/>
        <w:topLinePunct w:val="0"/>
        <w:bidi w:val="0"/>
        <w:adjustRightInd w:val="0"/>
        <w:snapToGrid/>
        <w:spacing w:line="590" w:lineRule="exact"/>
        <w:ind w:right="0" w:rightChars="0" w:firstLine="560" w:firstLineChars="200"/>
        <w:textAlignment w:val="auto"/>
        <w:outlineLvl w:val="9"/>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3、项目实施进度安排</w:t>
      </w:r>
    </w:p>
    <w:p>
      <w:pPr>
        <w:keepLines/>
        <w:widowControl/>
        <w:kinsoku w:val="0"/>
        <w:wordWrap/>
        <w:overflowPunct/>
        <w:adjustRightInd w:val="0"/>
        <w:spacing w:line="590" w:lineRule="exact"/>
        <w:ind w:leftChars="0" w:firstLine="560" w:firstLineChars="200"/>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Cs/>
          <w:kern w:val="0"/>
          <w:sz w:val="28"/>
          <w:szCs w:val="28"/>
          <w:lang w:val="en-US" w:eastAsia="zh-CN"/>
        </w:rPr>
        <w:t>4、项目建设目标</w:t>
      </w:r>
    </w:p>
    <w:p>
      <w:pPr>
        <w:keepLines/>
        <w:pageBreakBefore w:val="0"/>
        <w:widowControl/>
        <w:numPr>
          <w:ilvl w:val="0"/>
          <w:numId w:val="1"/>
        </w:numPr>
        <w:kinsoku w:val="0"/>
        <w:wordWrap/>
        <w:overflowPunct/>
        <w:topLinePunct w:val="0"/>
        <w:bidi w:val="0"/>
        <w:adjustRightInd w:val="0"/>
        <w:spacing w:line="590" w:lineRule="exact"/>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项目</w:t>
      </w:r>
      <w:r>
        <w:rPr>
          <w:rFonts w:hint="eastAsia" w:ascii="黑体" w:hAnsi="黑体" w:eastAsia="黑体" w:cs="黑体"/>
          <w:bCs/>
          <w:kern w:val="0"/>
          <w:sz w:val="28"/>
          <w:szCs w:val="28"/>
          <w:lang w:eastAsia="zh-CN"/>
        </w:rPr>
        <w:t>具体建设方案</w:t>
      </w:r>
    </w:p>
    <w:p>
      <w:pPr>
        <w:keepLines/>
        <w:pageBreakBefore w:val="0"/>
        <w:widowControl/>
        <w:kinsoku w:val="0"/>
        <w:wordWrap/>
        <w:overflowPunct/>
        <w:topLinePunct w:val="0"/>
        <w:bidi w:val="0"/>
        <w:adjustRightInd w:val="0"/>
        <w:spacing w:line="590" w:lineRule="exact"/>
        <w:ind w:right="0" w:rightChars="0" w:firstLine="560" w:firstLineChars="200"/>
        <w:textAlignment w:val="auto"/>
        <w:outlineLvl w:val="9"/>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eastAsia="zh-CN"/>
        </w:rPr>
        <w:t>方案需设计合理、详细，具备一定的可行性</w:t>
      </w:r>
    </w:p>
    <w:p>
      <w:pPr>
        <w:keepLines/>
        <w:pageBreakBefore w:val="0"/>
        <w:widowControl/>
        <w:kinsoku w:val="0"/>
        <w:wordWrap/>
        <w:overflowPunct/>
        <w:topLinePunct w:val="0"/>
        <w:bidi w:val="0"/>
        <w:adjustRightInd w:val="0"/>
        <w:spacing w:line="590" w:lineRule="exact"/>
        <w:ind w:right="0" w:rightChars="0" w:firstLine="560" w:firstLineChars="200"/>
        <w:textAlignment w:val="auto"/>
        <w:outlineLvl w:val="1"/>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四、项目具体经费预算</w:t>
      </w:r>
    </w:p>
    <w:p>
      <w:pPr>
        <w:keepLines/>
        <w:pageBreakBefore w:val="0"/>
        <w:widowControl/>
        <w:numPr>
          <w:ilvl w:val="0"/>
          <w:numId w:val="0"/>
        </w:numPr>
        <w:kinsoku w:val="0"/>
        <w:wordWrap/>
        <w:overflowPunct/>
        <w:topLinePunct w:val="0"/>
        <w:bidi w:val="0"/>
        <w:adjustRightInd w:val="0"/>
        <w:spacing w:line="590" w:lineRule="exact"/>
        <w:ind w:right="0" w:rightChars="0" w:firstLine="560" w:firstLineChars="200"/>
        <w:textAlignment w:val="auto"/>
        <w:outlineLvl w:val="1"/>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1、</w:t>
      </w:r>
      <w:r>
        <w:rPr>
          <w:rFonts w:hint="eastAsia" w:ascii="仿宋_GB2312" w:hAnsi="仿宋_GB2312" w:eastAsia="仿宋_GB2312" w:cs="仿宋_GB2312"/>
          <w:bCs/>
          <w:color w:val="auto"/>
          <w:kern w:val="0"/>
          <w:sz w:val="28"/>
          <w:szCs w:val="28"/>
          <w:lang w:eastAsia="zh-CN"/>
        </w:rPr>
        <w:t>经费测算方法、测算依据等进行详细说明</w:t>
      </w:r>
    </w:p>
    <w:p>
      <w:pPr>
        <w:keepLines/>
        <w:widowControl/>
        <w:kinsoku w:val="0"/>
        <w:wordWrap/>
        <w:overflowPunct/>
        <w:adjustRightInd w:val="0"/>
        <w:spacing w:line="59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预算支出明细表</w:t>
      </w:r>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559"/>
        <w:gridCol w:w="1365"/>
        <w:gridCol w:w="1439"/>
        <w:gridCol w:w="1391"/>
        <w:gridCol w:w="1436"/>
        <w:gridCol w:w="557"/>
        <w:gridCol w:w="564"/>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jc w:val="center"/>
        </w:trPr>
        <w:tc>
          <w:tcPr>
            <w:tcW w:w="315" w:type="pct"/>
            <w:vMerge w:val="restar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序号</w:t>
            </w:r>
          </w:p>
        </w:tc>
        <w:tc>
          <w:tcPr>
            <w:tcW w:w="769" w:type="pct"/>
            <w:vMerge w:val="restar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支出项目</w:t>
            </w:r>
          </w:p>
        </w:tc>
        <w:tc>
          <w:tcPr>
            <w:tcW w:w="811" w:type="pct"/>
            <w:vMerge w:val="restar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支出内容</w:t>
            </w:r>
          </w:p>
        </w:tc>
        <w:tc>
          <w:tcPr>
            <w:tcW w:w="784" w:type="pct"/>
            <w:vMerge w:val="restar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单位</w:t>
            </w:r>
          </w:p>
        </w:tc>
        <w:tc>
          <w:tcPr>
            <w:tcW w:w="1441" w:type="pct"/>
            <w:gridSpan w:val="3"/>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lang w:val="en-US"/>
              </w:rPr>
            </w:pPr>
            <w:r>
              <w:rPr>
                <w:rFonts w:hint="eastAsia" w:ascii="黑体" w:hAnsi="黑体" w:eastAsia="黑体" w:cs="黑体"/>
                <w:b w:val="0"/>
                <w:bCs/>
                <w:i w:val="0"/>
                <w:color w:val="auto"/>
                <w:kern w:val="0"/>
                <w:sz w:val="20"/>
                <w:szCs w:val="20"/>
                <w:u w:val="none"/>
                <w:lang w:val="en-US" w:eastAsia="zh-CN" w:bidi="ar"/>
              </w:rPr>
              <w:t>测算过程</w:t>
            </w:r>
          </w:p>
        </w:tc>
        <w:tc>
          <w:tcPr>
            <w:tcW w:w="878" w:type="pct"/>
            <w:vMerge w:val="restar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编制依据（</w:t>
            </w:r>
            <w:r>
              <w:rPr>
                <w:rStyle w:val="12"/>
                <w:rFonts w:hint="eastAsia" w:ascii="黑体" w:hAnsi="黑体" w:eastAsia="黑体" w:cs="黑体"/>
                <w:b w:val="0"/>
                <w:bCs/>
                <w:color w:val="auto"/>
                <w:sz w:val="20"/>
                <w:szCs w:val="20"/>
                <w:lang w:val="en-US" w:eastAsia="zh-CN" w:bidi="ar"/>
              </w:rPr>
              <w:t>依据、标准或其他需要注明的事项</w:t>
            </w:r>
            <w:r>
              <w:rPr>
                <w:rStyle w:val="13"/>
                <w:rFonts w:hint="eastAsia" w:ascii="黑体" w:hAnsi="黑体" w:eastAsia="黑体" w:cs="黑体"/>
                <w:b w:val="0"/>
                <w:bCs/>
                <w:color w:val="auto"/>
                <w:sz w:val="20"/>
                <w:szCs w:val="2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jc w:val="center"/>
        </w:trPr>
        <w:tc>
          <w:tcPr>
            <w:tcW w:w="315" w:type="pct"/>
            <w:vMerge w:val="continue"/>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769" w:type="pct"/>
            <w:vMerge w:val="continue"/>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811" w:type="pct"/>
            <w:vMerge w:val="continue"/>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784" w:type="pct"/>
            <w:vMerge w:val="continue"/>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数量</w:t>
            </w:r>
          </w:p>
        </w:tc>
        <w:tc>
          <w:tcPr>
            <w:tcW w:w="314"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单价</w:t>
            </w:r>
          </w:p>
        </w:tc>
        <w:tc>
          <w:tcPr>
            <w:tcW w:w="317"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金额</w:t>
            </w:r>
          </w:p>
        </w:tc>
        <w:tc>
          <w:tcPr>
            <w:tcW w:w="878" w:type="pct"/>
            <w:vMerge w:val="continue"/>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084" w:type="pct"/>
            <w:gridSpan w:val="2"/>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合  计</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一</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会议、培训费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培训费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二</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公务费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办公费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印刷费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邮电、通讯费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交通费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三</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差旅费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四</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专用设备、材料购置（租赁）费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专用设备购置（租赁）费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化验材料购置费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影像购置费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五</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监测检验费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分析测试费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化验加工费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监测井建设费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六</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数据库建设费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软件购置费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硬件购置费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数据库开发费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调研成果入库费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七</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劳务费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专家费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外聘人员费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志愿者费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指导员费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八</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委托业务费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方案设计编制费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地图绘制费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勘界测量费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项目鉴定、验收费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九</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其他费用</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宣传费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图集制作费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标语标识制作费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工作用品购置费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bl>
    <w:p>
      <w:pPr>
        <w:keepLines/>
        <w:pageBreakBefore w:val="0"/>
        <w:widowControl/>
        <w:numPr>
          <w:ilvl w:val="0"/>
          <w:numId w:val="0"/>
        </w:numPr>
        <w:kinsoku w:val="0"/>
        <w:wordWrap/>
        <w:overflowPunct/>
        <w:topLinePunct w:val="0"/>
        <w:bidi w:val="0"/>
        <w:adjustRightInd w:val="0"/>
        <w:spacing w:line="590" w:lineRule="exact"/>
        <w:ind w:right="0" w:rightChars="0" w:firstLine="0" w:firstLineChars="0"/>
        <w:textAlignment w:val="auto"/>
        <w:outlineLvl w:val="0"/>
        <w:rPr>
          <w:rFonts w:hint="eastAsia" w:ascii="黑体" w:hAnsi="黑体" w:eastAsia="黑体" w:cs="黑体"/>
          <w:bCs/>
          <w:kern w:val="0"/>
          <w:sz w:val="28"/>
          <w:szCs w:val="28"/>
        </w:rPr>
      </w:pPr>
    </w:p>
    <w:p>
      <w:pPr>
        <w:keepNext w:val="0"/>
        <w:keepLines/>
        <w:pageBreakBefore w:val="0"/>
        <w:widowControl/>
        <w:numPr>
          <w:ilvl w:val="0"/>
          <w:numId w:val="0"/>
        </w:numPr>
        <w:kinsoku w:val="0"/>
        <w:wordWrap/>
        <w:overflowPunct/>
        <w:topLinePunct w:val="0"/>
        <w:autoSpaceDE/>
        <w:autoSpaceDN/>
        <w:bidi w:val="0"/>
        <w:adjustRightInd w:val="0"/>
        <w:spacing w:line="590" w:lineRule="exact"/>
        <w:ind w:right="0" w:rightChars="0" w:firstLine="560" w:firstLineChars="200"/>
        <w:textAlignment w:val="auto"/>
        <w:outlineLvl w:val="0"/>
        <w:rPr>
          <w:rFonts w:hint="eastAsia" w:ascii="黑体" w:hAnsi="黑体" w:eastAsia="黑体" w:cs="黑体"/>
          <w:bCs/>
          <w:color w:val="auto"/>
          <w:kern w:val="0"/>
          <w:sz w:val="28"/>
          <w:szCs w:val="28"/>
          <w:highlight w:val="none"/>
          <w:lang w:eastAsia="zh-CN"/>
        </w:rPr>
      </w:pPr>
      <w:r>
        <w:rPr>
          <w:rFonts w:hint="eastAsia" w:ascii="黑体" w:hAnsi="黑体" w:eastAsia="黑体" w:cs="黑体"/>
          <w:bCs/>
          <w:kern w:val="0"/>
          <w:sz w:val="28"/>
          <w:szCs w:val="28"/>
          <w:highlight w:val="none"/>
          <w:lang w:eastAsia="zh-CN"/>
        </w:rPr>
        <w:t>五、</w:t>
      </w:r>
      <w:r>
        <w:rPr>
          <w:rFonts w:hint="eastAsia" w:ascii="黑体" w:hAnsi="黑体" w:eastAsia="黑体" w:cs="黑体"/>
          <w:bCs/>
          <w:color w:val="auto"/>
          <w:kern w:val="0"/>
          <w:sz w:val="28"/>
          <w:szCs w:val="28"/>
          <w:highlight w:val="none"/>
          <w:lang w:eastAsia="zh-CN"/>
        </w:rPr>
        <w:t>项目组织保障措施</w:t>
      </w:r>
    </w:p>
    <w:p>
      <w:pPr>
        <w:keepNext w:val="0"/>
        <w:keepLines/>
        <w:pageBreakBefore w:val="0"/>
        <w:widowControl/>
        <w:kinsoku w:val="0"/>
        <w:wordWrap/>
        <w:overflowPunct/>
        <w:topLinePunct w:val="0"/>
        <w:autoSpaceDE/>
        <w:autoSpaceDN/>
        <w:bidi w:val="0"/>
        <w:adjustRightInd w:val="0"/>
        <w:spacing w:line="590" w:lineRule="exact"/>
        <w:ind w:right="0" w:rightChars="0" w:firstLine="560" w:firstLineChars="200"/>
        <w:textAlignment w:val="auto"/>
        <w:outlineLvl w:val="9"/>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1、</w:t>
      </w:r>
      <w:r>
        <w:rPr>
          <w:rFonts w:hint="eastAsia" w:ascii="仿宋_GB2312" w:hAnsi="仿宋_GB2312" w:eastAsia="仿宋_GB2312" w:cs="仿宋_GB2312"/>
          <w:bCs/>
          <w:color w:val="auto"/>
          <w:kern w:val="0"/>
          <w:sz w:val="28"/>
          <w:szCs w:val="28"/>
        </w:rPr>
        <w:t>项目管理制度</w:t>
      </w:r>
    </w:p>
    <w:p>
      <w:pPr>
        <w:keepNext w:val="0"/>
        <w:keepLines/>
        <w:pageBreakBefore w:val="0"/>
        <w:widowControl/>
        <w:kinsoku w:val="0"/>
        <w:wordWrap/>
        <w:overflowPunct/>
        <w:topLinePunct w:val="0"/>
        <w:autoSpaceDE/>
        <w:autoSpaceDN/>
        <w:bidi w:val="0"/>
        <w:adjustRightInd w:val="0"/>
        <w:spacing w:line="590" w:lineRule="exact"/>
        <w:ind w:right="0" w:rightChars="0" w:firstLine="560" w:firstLineChars="200"/>
        <w:textAlignment w:val="auto"/>
        <w:outlineLvl w:val="9"/>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2、</w:t>
      </w:r>
      <w:r>
        <w:rPr>
          <w:rFonts w:hint="eastAsia" w:ascii="仿宋_GB2312" w:hAnsi="仿宋_GB2312" w:eastAsia="仿宋_GB2312" w:cs="仿宋_GB2312"/>
          <w:bCs/>
          <w:color w:val="auto"/>
          <w:kern w:val="0"/>
          <w:sz w:val="28"/>
          <w:szCs w:val="28"/>
        </w:rPr>
        <w:t>财务管理制度</w:t>
      </w:r>
    </w:p>
    <w:p>
      <w:pPr>
        <w:keepNext w:val="0"/>
        <w:keepLines/>
        <w:pageBreakBefore w:val="0"/>
        <w:widowControl/>
        <w:kinsoku w:val="0"/>
        <w:wordWrap/>
        <w:overflowPunct/>
        <w:topLinePunct w:val="0"/>
        <w:autoSpaceDE/>
        <w:autoSpaceDN/>
        <w:bidi w:val="0"/>
        <w:adjustRightInd w:val="0"/>
        <w:spacing w:line="590" w:lineRule="exact"/>
        <w:ind w:right="0" w:rightChars="0" w:firstLine="560" w:firstLineChars="200"/>
        <w:textAlignment w:val="auto"/>
        <w:outlineLvl w:val="9"/>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lang w:val="en-US" w:eastAsia="zh-CN"/>
        </w:rPr>
        <w:t>3、</w:t>
      </w:r>
      <w:r>
        <w:rPr>
          <w:rFonts w:hint="eastAsia" w:ascii="仿宋_GB2312" w:hAnsi="仿宋_GB2312" w:eastAsia="仿宋_GB2312" w:cs="仿宋_GB2312"/>
          <w:b w:val="0"/>
          <w:bCs/>
          <w:color w:val="auto"/>
          <w:kern w:val="0"/>
          <w:sz w:val="28"/>
          <w:szCs w:val="28"/>
        </w:rPr>
        <w:t>项目实施条件及保障措施</w:t>
      </w:r>
    </w:p>
    <w:p>
      <w:pPr>
        <w:keepLines/>
        <w:pageBreakBefore w:val="0"/>
        <w:widowControl/>
        <w:kinsoku w:val="0"/>
        <w:wordWrap/>
        <w:overflowPunct/>
        <w:topLinePunct w:val="0"/>
        <w:bidi w:val="0"/>
        <w:adjustRightInd w:val="0"/>
        <w:spacing w:line="590" w:lineRule="exact"/>
        <w:ind w:right="0" w:rightChars="0" w:firstLine="560" w:firstLineChars="200"/>
        <w:textAlignment w:val="auto"/>
        <w:outlineLvl w:val="0"/>
        <w:rPr>
          <w:rFonts w:hint="eastAsia"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预期成果与效益分析</w:t>
      </w:r>
    </w:p>
    <w:p>
      <w:pPr>
        <w:keepLines/>
        <w:pageBreakBefore w:val="0"/>
        <w:widowControl/>
        <w:kinsoku w:val="0"/>
        <w:wordWrap/>
        <w:overflowPunct/>
        <w:topLinePunct w:val="0"/>
        <w:bidi w:val="0"/>
        <w:adjustRightInd w:val="0"/>
        <w:spacing w:line="590" w:lineRule="exact"/>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项目实施预期取得的成果及成果应用价值，项目实施预期社会效益、经济效益、效益持续力、主要受益者等</w:t>
      </w:r>
    </w:p>
    <w:p>
      <w:pPr>
        <w:keepLines/>
        <w:pageBreakBefore w:val="0"/>
        <w:widowControl/>
        <w:kinsoku w:val="0"/>
        <w:wordWrap/>
        <w:overflowPunct/>
        <w:topLinePunct w:val="0"/>
        <w:bidi w:val="0"/>
        <w:adjustRightInd w:val="0"/>
        <w:spacing w:line="590" w:lineRule="exact"/>
        <w:ind w:right="0" w:rightChars="0" w:firstLine="560" w:firstLineChars="200"/>
        <w:textAlignment w:val="auto"/>
        <w:outlineLvl w:val="0"/>
        <w:rPr>
          <w:rFonts w:hint="eastAsia" w:ascii="黑体" w:hAnsi="黑体" w:eastAsia="黑体"/>
          <w:sz w:val="28"/>
          <w:szCs w:val="28"/>
        </w:rPr>
      </w:pPr>
      <w:r>
        <w:rPr>
          <w:rFonts w:hint="eastAsia" w:ascii="黑体" w:hAnsi="黑体" w:eastAsia="黑体"/>
          <w:sz w:val="28"/>
          <w:szCs w:val="28"/>
          <w:lang w:eastAsia="zh-CN"/>
        </w:rPr>
        <w:t>七</w:t>
      </w:r>
      <w:r>
        <w:rPr>
          <w:rFonts w:hint="eastAsia" w:ascii="黑体" w:hAnsi="黑体" w:eastAsia="黑体"/>
          <w:sz w:val="28"/>
          <w:szCs w:val="28"/>
        </w:rPr>
        <w:t>、项目验收标准</w:t>
      </w:r>
    </w:p>
    <w:p>
      <w:pPr>
        <w:keepLines/>
        <w:pageBreakBefore w:val="0"/>
        <w:widowControl/>
        <w:kinsoku w:val="0"/>
        <w:wordWrap/>
        <w:overflowPunct/>
        <w:topLinePunct w:val="0"/>
        <w:bidi w:val="0"/>
        <w:adjustRightInd w:val="0"/>
        <w:spacing w:line="590" w:lineRule="exact"/>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分项描述项目验收指标及验收标准</w:t>
      </w:r>
    </w:p>
    <w:p>
      <w:pPr>
        <w:keepLines/>
        <w:pageBreakBefore w:val="0"/>
        <w:widowControl/>
        <w:kinsoku w:val="0"/>
        <w:wordWrap/>
        <w:overflowPunct/>
        <w:topLinePunct w:val="0"/>
        <w:bidi w:val="0"/>
        <w:adjustRightInd w:val="0"/>
        <w:spacing w:line="590" w:lineRule="exact"/>
        <w:ind w:right="0" w:rightChars="0" w:firstLine="560" w:firstLineChars="200"/>
        <w:jc w:val="left"/>
        <w:textAlignment w:val="auto"/>
        <w:outlineLvl w:val="0"/>
        <w:rPr>
          <w:rFonts w:hint="eastAsia" w:ascii="黑体" w:hAnsi="黑体" w:eastAsia="黑体" w:cs="Times New Roman"/>
          <w:b w:val="0"/>
          <w:color w:val="000000"/>
          <w:kern w:val="2"/>
          <w:sz w:val="28"/>
          <w:szCs w:val="28"/>
          <w:lang w:bidi="ar"/>
        </w:rPr>
      </w:pPr>
      <w:r>
        <w:rPr>
          <w:rFonts w:hint="eastAsia" w:ascii="黑体" w:hAnsi="黑体" w:eastAsia="黑体" w:cs="Times New Roman"/>
          <w:sz w:val="28"/>
          <w:szCs w:val="28"/>
          <w:lang w:eastAsia="zh-CN"/>
        </w:rPr>
        <w:t>八、项目承担单位</w:t>
      </w:r>
      <w:r>
        <w:rPr>
          <w:rFonts w:hint="eastAsia" w:ascii="黑体" w:hAnsi="黑体" w:eastAsia="黑体" w:cs="Times New Roman"/>
          <w:sz w:val="28"/>
          <w:szCs w:val="28"/>
        </w:rPr>
        <w:t>意见</w:t>
      </w:r>
    </w:p>
    <w:tbl>
      <w:tblPr>
        <w:tblStyle w:val="8"/>
        <w:tblW w:w="8522"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Lines/>
              <w:pageBreakBefore w:val="0"/>
              <w:widowControl/>
              <w:kinsoku w:val="0"/>
              <w:wordWrap/>
              <w:overflowPunct/>
              <w:topLinePunct w:val="0"/>
              <w:bidi w:val="0"/>
              <w:adjustRightInd w:val="0"/>
              <w:spacing w:line="59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承担单位意见：</w:t>
            </w:r>
          </w:p>
          <w:p>
            <w:pPr>
              <w:keepLines/>
              <w:pageBreakBefore w:val="0"/>
              <w:widowControl/>
              <w:kinsoku w:val="0"/>
              <w:wordWrap/>
              <w:overflowPunct/>
              <w:topLinePunct w:val="0"/>
              <w:bidi w:val="0"/>
              <w:adjustRightInd w:val="0"/>
              <w:spacing w:line="590" w:lineRule="exact"/>
              <w:ind w:right="0" w:rightChars="0" w:firstLine="4132" w:firstLineChars="1476"/>
              <w:textAlignment w:val="auto"/>
              <w:rPr>
                <w:rFonts w:hint="eastAsia" w:ascii="仿宋_GB2312" w:hAnsi="仿宋_GB2312" w:eastAsia="仿宋_GB2312" w:cs="仿宋_GB2312"/>
                <w:sz w:val="28"/>
                <w:szCs w:val="28"/>
              </w:rPr>
            </w:pPr>
          </w:p>
          <w:p>
            <w:pPr>
              <w:keepLines/>
              <w:pageBreakBefore w:val="0"/>
              <w:widowControl/>
              <w:kinsoku w:val="0"/>
              <w:wordWrap/>
              <w:overflowPunct/>
              <w:topLinePunct w:val="0"/>
              <w:bidi w:val="0"/>
              <w:adjustRightInd w:val="0"/>
              <w:spacing w:line="590" w:lineRule="exact"/>
              <w:ind w:right="0" w:rightChars="0" w:firstLine="4132" w:firstLineChars="147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承担单位（公章）：</w:t>
            </w:r>
          </w:p>
          <w:p>
            <w:pPr>
              <w:keepLines/>
              <w:pageBreakBefore w:val="0"/>
              <w:widowControl/>
              <w:kinsoku w:val="0"/>
              <w:wordWrap/>
              <w:overflowPunct/>
              <w:topLinePunct w:val="0"/>
              <w:bidi w:val="0"/>
              <w:adjustRightInd w:val="0"/>
              <w:spacing w:line="590" w:lineRule="exact"/>
              <w:ind w:right="0" w:rightChars="0" w:firstLine="4132" w:firstLineChars="147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keepLines/>
              <w:pageBreakBefore w:val="0"/>
              <w:widowControl/>
              <w:kinsoku w:val="0"/>
              <w:wordWrap/>
              <w:overflowPunct/>
              <w:topLinePunct w:val="0"/>
              <w:bidi w:val="0"/>
              <w:adjustRightInd w:val="0"/>
              <w:spacing w:line="59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Lines w:val="0"/>
              <w:pageBreakBefore w:val="0"/>
              <w:widowControl w:val="0"/>
              <w:kinsoku/>
              <w:wordWrap/>
              <w:overflowPunct/>
              <w:topLinePunct w:val="0"/>
              <w:bidi w:val="0"/>
              <w:adjustRightInd w:val="0"/>
              <w:snapToGrid w:val="0"/>
              <w:spacing w:line="59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自筹资金出资单位意见（承诺提供配套支持的情况下签署意见）</w:t>
            </w:r>
          </w:p>
          <w:p>
            <w:pPr>
              <w:keepLines w:val="0"/>
              <w:pageBreakBefore w:val="0"/>
              <w:widowControl w:val="0"/>
              <w:kinsoku/>
              <w:wordWrap/>
              <w:overflowPunct/>
              <w:topLinePunct w:val="0"/>
              <w:bidi w:val="0"/>
              <w:adjustRightInd w:val="0"/>
              <w:snapToGrid w:val="0"/>
              <w:spacing w:line="590" w:lineRule="exact"/>
              <w:ind w:right="0" w:rightChars="0" w:firstLine="560" w:firstLineChars="200"/>
              <w:textAlignment w:val="auto"/>
              <w:rPr>
                <w:rFonts w:hint="eastAsia" w:ascii="仿宋_GB2312" w:hAnsi="仿宋_GB2312" w:eastAsia="仿宋_GB2312" w:cs="仿宋_GB2312"/>
                <w:sz w:val="28"/>
                <w:szCs w:val="28"/>
              </w:rPr>
            </w:pPr>
          </w:p>
          <w:p>
            <w:pPr>
              <w:keepLines w:val="0"/>
              <w:pageBreakBefore w:val="0"/>
              <w:widowControl w:val="0"/>
              <w:kinsoku/>
              <w:wordWrap/>
              <w:overflowPunct/>
              <w:topLinePunct w:val="0"/>
              <w:bidi w:val="0"/>
              <w:adjustRightInd w:val="0"/>
              <w:snapToGrid w:val="0"/>
              <w:spacing w:line="59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项目立项指南的要求，自愿提交项目申请书，在此郑重承诺：按照前述项目批复预算经费的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万元）进行自筹配套。</w:t>
            </w:r>
          </w:p>
          <w:p>
            <w:pPr>
              <w:keepLines w:val="0"/>
              <w:pageBreakBefore w:val="0"/>
              <w:widowControl w:val="0"/>
              <w:kinsoku/>
              <w:wordWrap/>
              <w:overflowPunct/>
              <w:topLinePunct w:val="0"/>
              <w:bidi w:val="0"/>
              <w:adjustRightInd w:val="0"/>
              <w:snapToGrid w:val="0"/>
              <w:spacing w:line="59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如有违反，本单位愿接受广东省农业农村厅做出的各项处理决定，包括但不限于停拨或核减资金，追回</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资金，取消一定期限</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keepLines w:val="0"/>
              <w:pageBreakBefore w:val="0"/>
              <w:widowControl w:val="0"/>
              <w:kinsoku/>
              <w:wordWrap/>
              <w:overflowPunct/>
              <w:topLinePunct w:val="0"/>
              <w:bidi w:val="0"/>
              <w:adjustRightInd w:val="0"/>
              <w:snapToGrid w:val="0"/>
              <w:spacing w:line="590" w:lineRule="exact"/>
              <w:ind w:right="0" w:rightChars="0"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出资单位（盖章）：</w:t>
            </w:r>
          </w:p>
          <w:p>
            <w:pPr>
              <w:keepLines w:val="0"/>
              <w:pageBreakBefore w:val="0"/>
              <w:widowControl w:val="0"/>
              <w:kinsoku/>
              <w:wordWrap/>
              <w:overflowPunct/>
              <w:topLinePunct w:val="0"/>
              <w:bidi w:val="0"/>
              <w:adjustRightInd w:val="0"/>
              <w:snapToGrid w:val="0"/>
              <w:spacing w:line="590" w:lineRule="exact"/>
              <w:ind w:right="0" w:rightChars="0" w:firstLine="5040" w:firstLineChars="1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keepLines w:val="0"/>
              <w:pageBreakBefore w:val="0"/>
              <w:widowControl w:val="0"/>
              <w:kinsoku/>
              <w:wordWrap/>
              <w:overflowPunct/>
              <w:topLinePunct w:val="0"/>
              <w:bidi w:val="0"/>
              <w:adjustRightInd w:val="0"/>
              <w:snapToGrid w:val="0"/>
              <w:spacing w:line="59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pPr>
        <w:pStyle w:val="2"/>
        <w:pageBreakBefore w:val="0"/>
        <w:widowControl/>
        <w:numPr>
          <w:ilvl w:val="2"/>
          <w:numId w:val="0"/>
        </w:numPr>
        <w:kinsoku w:val="0"/>
        <w:wordWrap/>
        <w:overflowPunct/>
        <w:topLinePunct w:val="0"/>
        <w:bidi w:val="0"/>
        <w:adjustRightInd w:val="0"/>
        <w:spacing w:before="0" w:after="0" w:line="590" w:lineRule="exact"/>
        <w:ind w:left="288" w:leftChars="0" w:right="0" w:rightChars="0"/>
        <w:textAlignment w:val="auto"/>
        <w:rPr>
          <w:rFonts w:hint="eastAsia" w:ascii="仿宋_GB2312" w:hAnsi="仿宋_GB2312" w:eastAsia="仿宋_GB2312" w:cs="仿宋_GB2312"/>
          <w:sz w:val="28"/>
          <w:szCs w:val="28"/>
        </w:rPr>
      </w:pPr>
    </w:p>
    <w:p>
      <w:pPr>
        <w:keepLines/>
        <w:pageBreakBefore w:val="0"/>
        <w:widowControl/>
        <w:kinsoku w:val="0"/>
        <w:wordWrap/>
        <w:overflowPunct/>
        <w:topLinePunct w:val="0"/>
        <w:bidi w:val="0"/>
        <w:adjustRightInd w:val="0"/>
        <w:spacing w:line="590" w:lineRule="exact"/>
        <w:ind w:right="0" w:rightChars="0" w:firstLine="560" w:firstLineChars="200"/>
        <w:textAlignment w:val="auto"/>
        <w:rPr>
          <w:rFonts w:hint="eastAsia" w:ascii="仿宋_GB2312" w:hAnsi="仿宋_GB2312" w:eastAsia="仿宋_GB2312" w:cs="仿宋_GB2312"/>
          <w:sz w:val="28"/>
          <w:szCs w:val="28"/>
        </w:rPr>
      </w:pPr>
    </w:p>
    <w:p>
      <w:pPr>
        <w:keepNext w:val="0"/>
        <w:keepLines/>
        <w:pageBreakBefore w:val="0"/>
        <w:widowControl/>
        <w:kinsoku w:val="0"/>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bCs/>
          <w:color w:val="auto"/>
          <w:kern w:val="0"/>
          <w:sz w:val="44"/>
          <w:szCs w:val="44"/>
          <w:lang w:val="en-US" w:eastAsia="zh-CN"/>
        </w:rPr>
      </w:pPr>
      <w:r>
        <w:rPr>
          <w:rFonts w:hint="eastAsia" w:ascii="Times New Roman" w:hAnsi="Times New Roman" w:eastAsia="仿宋" w:cs="仿宋_GB2312"/>
          <w:b/>
          <w:bCs/>
          <w:sz w:val="28"/>
          <w:szCs w:val="28"/>
        </w:rPr>
        <w:br w:type="page"/>
      </w:r>
    </w:p>
    <w:p>
      <w:pPr>
        <w:pStyle w:val="3"/>
        <w:keepNext w:val="0"/>
        <w:keepLines/>
        <w:pageBreakBefore w:val="0"/>
        <w:widowControl/>
        <w:kinsoku w:val="0"/>
        <w:wordWrap/>
        <w:overflowPunct/>
        <w:topLinePunct w:val="0"/>
        <w:autoSpaceDE/>
        <w:autoSpaceDN/>
        <w:bidi w:val="0"/>
        <w:adjustRightInd w:val="0"/>
        <w:snapToGrid w:val="0"/>
        <w:spacing w:line="590" w:lineRule="exact"/>
        <w:textAlignment w:val="auto"/>
        <w:rPr>
          <w:rFonts w:hint="eastAsia"/>
          <w:lang w:val="en-US" w:eastAsia="zh-CN"/>
        </w:rPr>
      </w:pPr>
      <w:r>
        <w:rPr>
          <w:rFonts w:hint="eastAsia"/>
          <w:lang w:val="en-US" w:eastAsia="zh-CN"/>
        </w:rPr>
        <w:t>广东省化肥减量增效“三新”集成</w:t>
      </w:r>
    </w:p>
    <w:p>
      <w:pPr>
        <w:pStyle w:val="3"/>
        <w:keepNext w:val="0"/>
        <w:keepLines/>
        <w:pageBreakBefore w:val="0"/>
        <w:widowControl/>
        <w:kinsoku w:val="0"/>
        <w:wordWrap/>
        <w:overflowPunct/>
        <w:topLinePunct w:val="0"/>
        <w:autoSpaceDE/>
        <w:autoSpaceDN/>
        <w:bidi w:val="0"/>
        <w:adjustRightInd w:val="0"/>
        <w:snapToGrid w:val="0"/>
        <w:spacing w:line="590" w:lineRule="exact"/>
        <w:textAlignment w:val="auto"/>
        <w:rPr>
          <w:rFonts w:hint="eastAsia"/>
          <w:lang w:val="en-US" w:eastAsia="zh-CN"/>
        </w:rPr>
      </w:pPr>
      <w:r>
        <w:rPr>
          <w:rFonts w:hint="eastAsia"/>
          <w:lang w:val="en-US" w:eastAsia="zh-CN"/>
        </w:rPr>
        <w:t>推进县项目</w:t>
      </w:r>
    </w:p>
    <w:p>
      <w:pPr>
        <w:pStyle w:val="3"/>
        <w:keepLines/>
        <w:widowControl/>
        <w:kinsoku w:val="0"/>
        <w:wordWrap/>
        <w:overflowPunct/>
        <w:bidi w:val="0"/>
        <w:spacing w:line="590" w:lineRule="exact"/>
        <w:rPr>
          <w:rFonts w:hint="eastAsia"/>
          <w:lang w:val="en-US" w:eastAsia="zh-CN"/>
        </w:rPr>
      </w:pPr>
    </w:p>
    <w:p>
      <w:pPr>
        <w:keepLines/>
        <w:widowControl/>
        <w:kinsoku w:val="0"/>
        <w:wordWrap/>
        <w:overflowPunct/>
        <w:adjustRightInd w:val="0"/>
        <w:spacing w:line="590" w:lineRule="exact"/>
        <w:rPr>
          <w:rFonts w:hint="eastAsia"/>
          <w:lang w:val="en-US" w:eastAsia="zh-CN"/>
        </w:rPr>
      </w:pPr>
    </w:p>
    <w:p>
      <w:pPr>
        <w:pStyle w:val="3"/>
        <w:keepLines/>
        <w:widowControl/>
        <w:kinsoku w:val="0"/>
        <w:wordWrap/>
        <w:overflowPunct/>
        <w:bidi w:val="0"/>
        <w:spacing w:line="590" w:lineRule="exact"/>
        <w:rPr>
          <w:rFonts w:hint="eastAsia"/>
          <w:b/>
          <w:bCs w:val="0"/>
          <w:lang w:val="en-US" w:eastAsia="zh-CN"/>
        </w:rPr>
      </w:pPr>
      <w:r>
        <w:rPr>
          <w:rFonts w:hint="eastAsia"/>
          <w:b/>
          <w:bCs w:val="0"/>
          <w:lang w:val="en-US" w:eastAsia="zh-CN"/>
        </w:rPr>
        <w:t>申报书模板</w:t>
      </w:r>
    </w:p>
    <w:p>
      <w:pPr>
        <w:keepNext w:val="0"/>
        <w:keepLines/>
        <w:pageBreakBefore w:val="0"/>
        <w:widowControl/>
        <w:kinsoku w:val="0"/>
        <w:wordWrap/>
        <w:overflowPunct/>
        <w:topLinePunct w:val="0"/>
        <w:bidi w:val="0"/>
        <w:adjustRightInd w:val="0"/>
        <w:snapToGrid w:val="0"/>
        <w:spacing w:line="590" w:lineRule="exact"/>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pStyle w:val="4"/>
        <w:keepLines/>
        <w:widowControl/>
        <w:kinsoku w:val="0"/>
        <w:wordWrap/>
        <w:overflowPunct/>
        <w:adjustRightInd w:val="0"/>
        <w:spacing w:line="590" w:lineRule="exact"/>
      </w:pPr>
    </w:p>
    <w:tbl>
      <w:tblPr>
        <w:tblStyle w:val="8"/>
        <w:tblW w:w="8850" w:type="dxa"/>
        <w:tblInd w:w="0" w:type="dxa"/>
        <w:tblLayout w:type="fixed"/>
        <w:tblCellMar>
          <w:top w:w="0" w:type="dxa"/>
          <w:left w:w="108" w:type="dxa"/>
          <w:bottom w:w="0" w:type="dxa"/>
          <w:right w:w="108" w:type="dxa"/>
        </w:tblCellMar>
      </w:tblPr>
      <w:tblGrid>
        <w:gridCol w:w="2632"/>
        <w:gridCol w:w="6218"/>
      </w:tblGrid>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6218" w:type="dxa"/>
            <w:tcBorders>
              <w:bottom w:val="single" w:color="auto" w:sz="4" w:space="0"/>
            </w:tcBorders>
            <w:noWrap w:val="0"/>
            <w:vAlign w:val="center"/>
          </w:tcPr>
          <w:p>
            <w:pPr>
              <w:keepNext w:val="0"/>
              <w:keepLines/>
              <w:pageBreakBefore w:val="0"/>
              <w:widowControl/>
              <w:kinsoku w:val="0"/>
              <w:wordWrap/>
              <w:overflowPunct/>
              <w:topLinePunct w:val="0"/>
              <w:autoSpaceDE/>
              <w:autoSpaceDN/>
              <w:bidi w:val="0"/>
              <w:adjustRightInd w:val="0"/>
              <w:snapToGrid w:val="0"/>
              <w:spacing w:line="590" w:lineRule="exact"/>
              <w:ind w:left="0" w:leftChars="0" w:firstLine="0" w:firstLineChars="0"/>
              <w:jc w:val="center"/>
              <w:textAlignment w:val="auto"/>
              <w:rPr>
                <w:rFonts w:hint="default" w:ascii="宋体" w:hAnsi="宋体" w:eastAsia="宋体" w:cs="Times New Roman"/>
                <w:color w:val="auto"/>
                <w:kern w:val="2"/>
                <w:sz w:val="30"/>
                <w:szCs w:val="30"/>
                <w:lang w:val="en-US" w:eastAsia="zh-CN" w:bidi="ar-SA"/>
              </w:rPr>
            </w:pPr>
            <w:r>
              <w:rPr>
                <w:rFonts w:hint="eastAsia" w:ascii="仿宋_GB2312" w:hAnsi="仿宋_GB2312" w:eastAsia="仿宋_GB2312" w:cs="仿宋_GB2312"/>
                <w:b w:val="0"/>
                <w:bCs w:val="0"/>
                <w:snapToGrid w:val="0"/>
                <w:color w:val="auto"/>
                <w:kern w:val="0"/>
                <w:sz w:val="30"/>
                <w:szCs w:val="30"/>
                <w:u w:val="none"/>
                <w:lang w:val="en-US" w:eastAsia="zh-CN"/>
              </w:rPr>
              <w:t>2024年化肥减量增效“三新”集成推进县</w:t>
            </w: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rPr>
              <w:t>申 报 单 位：</w:t>
            </w:r>
          </w:p>
        </w:tc>
        <w:tc>
          <w:tcPr>
            <w:tcW w:w="6218" w:type="dxa"/>
            <w:tcBorders>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jc w:val="center"/>
              <w:rPr>
                <w:rFonts w:ascii="宋体" w:hAnsi="宋体"/>
                <w:color w:val="auto"/>
                <w:sz w:val="28"/>
                <w:szCs w:val="28"/>
              </w:rPr>
            </w:pPr>
            <w:r>
              <w:rPr>
                <w:rFonts w:hint="eastAsia" w:ascii="仿宋_GB2312" w:hAnsi="仿宋_GB2312" w:eastAsia="仿宋_GB2312" w:cs="仿宋_GB2312"/>
                <w:b w:val="0"/>
                <w:bCs w:val="0"/>
                <w:snapToGrid w:val="0"/>
                <w:color w:val="auto"/>
                <w:kern w:val="0"/>
                <w:sz w:val="32"/>
                <w:szCs w:val="32"/>
                <w:u w:val="none"/>
              </w:rPr>
              <w:t>XX</w:t>
            </w:r>
            <w:r>
              <w:rPr>
                <w:rFonts w:hint="eastAsia" w:ascii="仿宋_GB2312" w:hAnsi="仿宋_GB2312" w:eastAsia="仿宋_GB2312" w:cs="仿宋_GB2312"/>
                <w:b w:val="0"/>
                <w:bCs w:val="0"/>
                <w:snapToGrid w:val="0"/>
                <w:color w:val="auto"/>
                <w:kern w:val="0"/>
                <w:sz w:val="32"/>
                <w:szCs w:val="32"/>
                <w:u w:val="none"/>
                <w:lang w:eastAsia="zh-CN"/>
              </w:rPr>
              <w:t>县（市、区）农业农村局</w:t>
            </w: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6218" w:type="dxa"/>
            <w:tcBorders>
              <w:top w:val="single" w:color="auto" w:sz="4" w:space="0"/>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jc w:val="center"/>
              <w:rPr>
                <w:rFonts w:ascii="黑体" w:hAnsi="宋体" w:eastAsia="黑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6218" w:type="dxa"/>
            <w:tcBorders>
              <w:top w:val="single" w:color="auto" w:sz="4" w:space="0"/>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jc w:val="center"/>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hint="eastAsia" w:ascii="黑体" w:eastAsia="黑体"/>
                <w:color w:val="auto"/>
                <w:sz w:val="28"/>
                <w:szCs w:val="28"/>
              </w:rPr>
            </w:pPr>
            <w:r>
              <w:rPr>
                <w:rFonts w:hint="eastAsia" w:ascii="黑体" w:eastAsia="黑体"/>
                <w:color w:val="auto"/>
                <w:sz w:val="28"/>
                <w:szCs w:val="28"/>
              </w:rPr>
              <w:t>申 报 日 期：</w:t>
            </w:r>
          </w:p>
        </w:tc>
        <w:tc>
          <w:tcPr>
            <w:tcW w:w="6218" w:type="dxa"/>
            <w:tcBorders>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616"/>
              <w:jc w:val="center"/>
              <w:rPr>
                <w:rFonts w:hint="eastAsia"/>
                <w:color w:val="auto"/>
                <w:sz w:val="24"/>
                <w:szCs w:val="32"/>
              </w:rPr>
            </w:pPr>
          </w:p>
        </w:tc>
      </w:tr>
    </w:tbl>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jc w:val="both"/>
        <w:rPr>
          <w:rFonts w:hint="eastAsia" w:ascii="楷体_GB2312" w:hAnsi="楷体_GB2312" w:eastAsia="楷体_GB2312" w:cs="楷体_GB2312"/>
          <w:b/>
          <w:bCs w:val="0"/>
          <w:color w:val="auto"/>
          <w:sz w:val="32"/>
          <w:szCs w:val="32"/>
        </w:rPr>
      </w:pPr>
    </w:p>
    <w:p>
      <w:pPr>
        <w:keepNext w:val="0"/>
        <w:keepLines/>
        <w:pageBreakBefore w:val="0"/>
        <w:widowControl/>
        <w:kinsoku w:val="0"/>
        <w:wordWrap/>
        <w:overflowPunct/>
        <w:topLinePunct w:val="0"/>
        <w:bidi w:val="0"/>
        <w:adjustRightInd w:val="0"/>
        <w:snapToGrid w:val="0"/>
        <w:spacing w:line="59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pageBreakBefore w:val="0"/>
        <w:widowControl/>
        <w:kinsoku w:val="0"/>
        <w:wordWrap/>
        <w:overflowPunct/>
        <w:topLinePunct w:val="0"/>
        <w:autoSpaceDE/>
        <w:autoSpaceDN/>
        <w:bidi w:val="0"/>
        <w:adjustRightInd w:val="0"/>
        <w:snapToGrid w:val="0"/>
        <w:spacing w:after="300" w:afterLines="50" w:line="590" w:lineRule="exact"/>
        <w:jc w:val="center"/>
        <w:textAlignment w:val="auto"/>
        <w:rPr>
          <w:rFonts w:hint="eastAsia" w:ascii="黑体" w:hAnsi="黑体" w:eastAsia="黑体" w:cs="黑体"/>
          <w:b w:val="0"/>
          <w:bCs/>
          <w:color w:val="auto"/>
          <w:kern w:val="0"/>
          <w:sz w:val="32"/>
          <w:szCs w:val="32"/>
        </w:rPr>
      </w:pPr>
      <w:r>
        <w:rPr>
          <w:rFonts w:hint="eastAsia" w:ascii="楷体_GB2312" w:hAnsi="楷体_GB2312" w:eastAsia="楷体_GB2312" w:cs="楷体_GB2312"/>
          <w:b/>
          <w:bCs w:val="0"/>
          <w:color w:val="auto"/>
          <w:sz w:val="32"/>
          <w:szCs w:val="32"/>
        </w:rPr>
        <w:t>二Ο二   年   月</w:t>
      </w:r>
      <w:r>
        <w:rPr>
          <w:rFonts w:hint="eastAsia" w:ascii="黑体" w:hAnsi="黑体" w:eastAsia="黑体" w:cs="黑体"/>
          <w:b w:val="0"/>
          <w:bCs/>
          <w:color w:val="auto"/>
          <w:kern w:val="0"/>
          <w:sz w:val="32"/>
          <w:szCs w:val="32"/>
        </w:rPr>
        <w:br w:type="page"/>
      </w:r>
      <w:r>
        <w:rPr>
          <w:rFonts w:hint="eastAsia" w:ascii="黑体" w:hAnsi="黑体" w:eastAsia="黑体" w:cs="黑体"/>
          <w:b w:val="0"/>
          <w:bCs/>
          <w:color w:val="auto"/>
          <w:kern w:val="0"/>
          <w:sz w:val="32"/>
          <w:szCs w:val="32"/>
        </w:rPr>
        <w:t>一、项目基本信息</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单位名称</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30"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主管部门</w:t>
            </w:r>
          </w:p>
        </w:tc>
        <w:tc>
          <w:tcPr>
            <w:tcW w:w="2607"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30" w:type="dxa"/>
            <w:vMerge w:val="restart"/>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607"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607"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30" w:type="dxa"/>
            <w:vMerge w:val="restart"/>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607"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607"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账户</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单位</w:t>
      </w:r>
      <w:r>
        <w:rPr>
          <w:rFonts w:hint="eastAsia" w:ascii="黑体" w:hAnsi="黑体" w:eastAsia="黑体" w:cs="黑体"/>
          <w:b w:val="0"/>
          <w:bCs/>
          <w:color w:val="auto"/>
          <w:kern w:val="0"/>
          <w:sz w:val="32"/>
          <w:szCs w:val="32"/>
        </w:rPr>
        <w:t>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主要为项目单位</w:t>
      </w:r>
      <w:r>
        <w:rPr>
          <w:rFonts w:hint="eastAsia" w:ascii="仿宋_GB2312" w:hAnsi="仿宋_GB2312" w:eastAsia="仿宋_GB2312" w:cs="仿宋_GB2312"/>
          <w:bCs/>
          <w:color w:val="auto"/>
          <w:kern w:val="0"/>
          <w:sz w:val="32"/>
          <w:szCs w:val="32"/>
        </w:rPr>
        <w:t>农业生产基本情况，包括粮食及当地主导产业发展情况，全县（市、区）农户数</w:t>
      </w:r>
      <w:r>
        <w:rPr>
          <w:rFonts w:hint="eastAsia" w:ascii="仿宋_GB2312" w:hAnsi="仿宋_GB2312" w:eastAsia="仿宋_GB2312" w:cs="仿宋_GB2312"/>
          <w:bCs/>
          <w:color w:val="auto"/>
          <w:kern w:val="0"/>
          <w:sz w:val="32"/>
          <w:szCs w:val="32"/>
          <w:lang w:eastAsia="zh-CN"/>
        </w:rPr>
        <w:t>及农业从业人口数</w:t>
      </w:r>
      <w:r>
        <w:rPr>
          <w:rFonts w:hint="eastAsia" w:ascii="仿宋_GB2312" w:hAnsi="仿宋_GB2312" w:eastAsia="仿宋_GB2312" w:cs="仿宋_GB2312"/>
          <w:bCs/>
          <w:color w:val="auto"/>
          <w:kern w:val="0"/>
          <w:sz w:val="32"/>
          <w:szCs w:val="32"/>
        </w:rPr>
        <w:t>、户均承包地面积</w:t>
      </w:r>
      <w:r>
        <w:rPr>
          <w:rFonts w:hint="eastAsia" w:ascii="仿宋_GB2312" w:hAnsi="仿宋_GB2312" w:eastAsia="仿宋_GB2312" w:cs="仿宋_GB2312"/>
          <w:bCs/>
          <w:color w:val="auto"/>
          <w:kern w:val="0"/>
          <w:sz w:val="32"/>
          <w:szCs w:val="32"/>
          <w:lang w:eastAsia="zh-CN"/>
        </w:rPr>
        <w:t>、农作物种植面积、肥料使用、畜禽粪污资源化利用情况</w:t>
      </w:r>
      <w:r>
        <w:rPr>
          <w:rFonts w:hint="eastAsia" w:ascii="仿宋_GB2312" w:hAnsi="仿宋_GB2312" w:eastAsia="仿宋_GB2312" w:cs="仿宋_GB2312"/>
          <w:bCs/>
          <w:color w:val="auto"/>
          <w:kern w:val="0"/>
          <w:sz w:val="32"/>
          <w:szCs w:val="32"/>
        </w:rPr>
        <w:t>，党委、政府对</w:t>
      </w:r>
      <w:r>
        <w:rPr>
          <w:rFonts w:hint="eastAsia" w:ascii="仿宋_GB2312" w:hAnsi="仿宋_GB2312" w:eastAsia="仿宋_GB2312" w:cs="仿宋_GB2312"/>
          <w:bCs/>
          <w:color w:val="auto"/>
          <w:kern w:val="0"/>
          <w:sz w:val="32"/>
          <w:szCs w:val="32"/>
          <w:lang w:eastAsia="zh-CN"/>
        </w:rPr>
        <w:t>化肥减量增效工作</w:t>
      </w:r>
      <w:r>
        <w:rPr>
          <w:rFonts w:hint="eastAsia" w:ascii="仿宋_GB2312" w:hAnsi="仿宋_GB2312" w:eastAsia="仿宋_GB2312" w:cs="仿宋_GB2312"/>
          <w:bCs/>
          <w:color w:val="auto"/>
          <w:kern w:val="0"/>
          <w:sz w:val="32"/>
          <w:szCs w:val="32"/>
        </w:rPr>
        <w:t>的重视程度、</w:t>
      </w:r>
      <w:r>
        <w:rPr>
          <w:rFonts w:hint="eastAsia" w:ascii="仿宋_GB2312" w:hAnsi="仿宋_GB2312" w:eastAsia="仿宋_GB2312" w:cs="仿宋_GB2312"/>
          <w:bCs/>
          <w:color w:val="auto"/>
          <w:kern w:val="0"/>
          <w:sz w:val="32"/>
          <w:szCs w:val="32"/>
          <w:lang w:eastAsia="zh-CN"/>
        </w:rPr>
        <w:t>统配统施等</w:t>
      </w:r>
      <w:r>
        <w:rPr>
          <w:rFonts w:hint="eastAsia" w:ascii="仿宋_GB2312" w:hAnsi="仿宋_GB2312" w:eastAsia="仿宋_GB2312" w:cs="仿宋_GB2312"/>
          <w:bCs/>
          <w:color w:val="auto"/>
          <w:kern w:val="0"/>
          <w:sz w:val="32"/>
          <w:szCs w:val="32"/>
        </w:rPr>
        <w:t>社会化服务组织发展及托管服务情况、承担该项目的优势、确定支持的</w:t>
      </w:r>
      <w:r>
        <w:rPr>
          <w:rFonts w:hint="eastAsia" w:ascii="仿宋_GB2312" w:hAnsi="仿宋_GB2312" w:eastAsia="仿宋_GB2312" w:cs="仿宋_GB2312"/>
          <w:bCs/>
          <w:color w:val="auto"/>
          <w:kern w:val="0"/>
          <w:sz w:val="32"/>
          <w:szCs w:val="32"/>
          <w:lang w:eastAsia="zh-CN"/>
        </w:rPr>
        <w:t>项目</w:t>
      </w:r>
      <w:r>
        <w:rPr>
          <w:rFonts w:hint="eastAsia" w:ascii="仿宋_GB2312" w:hAnsi="仿宋_GB2312" w:eastAsia="仿宋_GB2312" w:cs="仿宋_GB2312"/>
          <w:bCs/>
          <w:color w:val="auto"/>
          <w:kern w:val="0"/>
          <w:sz w:val="32"/>
          <w:szCs w:val="32"/>
        </w:rPr>
        <w:t>对当地</w:t>
      </w:r>
      <w:r>
        <w:rPr>
          <w:rFonts w:hint="eastAsia" w:ascii="仿宋_GB2312" w:hAnsi="仿宋_GB2312" w:eastAsia="仿宋_GB2312" w:cs="仿宋_GB2312"/>
          <w:bCs/>
          <w:color w:val="auto"/>
          <w:kern w:val="0"/>
          <w:sz w:val="32"/>
          <w:szCs w:val="32"/>
          <w:lang w:eastAsia="zh-CN"/>
        </w:rPr>
        <w:t>农业和生态环境</w:t>
      </w:r>
      <w:r>
        <w:rPr>
          <w:rFonts w:hint="eastAsia" w:ascii="仿宋_GB2312" w:hAnsi="仿宋_GB2312" w:eastAsia="仿宋_GB2312" w:cs="仿宋_GB2312"/>
          <w:bCs/>
          <w:color w:val="auto"/>
          <w:kern w:val="0"/>
          <w:sz w:val="32"/>
          <w:szCs w:val="32"/>
        </w:rPr>
        <w:t>的影响</w:t>
      </w:r>
      <w:r>
        <w:rPr>
          <w:rFonts w:hint="eastAsia" w:ascii="仿宋_GB2312" w:hAnsi="仿宋_GB2312" w:eastAsia="仿宋_GB2312" w:cs="仿宋_GB2312"/>
          <w:bCs/>
          <w:color w:val="auto"/>
          <w:kern w:val="0"/>
          <w:sz w:val="32"/>
          <w:szCs w:val="32"/>
          <w:lang w:val="en-US" w:eastAsia="zh-CN"/>
        </w:rPr>
        <w:t>等</w:t>
      </w:r>
      <w:r>
        <w:rPr>
          <w:rFonts w:hint="eastAsia" w:ascii="仿宋_GB2312" w:hAnsi="仿宋_GB2312" w:eastAsia="仿宋_GB2312" w:cs="仿宋_GB2312"/>
          <w:bCs/>
          <w:color w:val="auto"/>
          <w:kern w:val="0"/>
          <w:sz w:val="32"/>
          <w:szCs w:val="32"/>
        </w:rPr>
        <w:t>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highlight w:val="none"/>
        </w:rPr>
        <w:t>包含</w:t>
      </w:r>
      <w:r>
        <w:rPr>
          <w:rFonts w:hint="eastAsia" w:ascii="仿宋_GB2312" w:hAnsi="仿宋_GB2312" w:eastAsia="仿宋_GB2312" w:cs="仿宋_GB2312"/>
          <w:bCs/>
          <w:color w:val="auto"/>
          <w:kern w:val="0"/>
          <w:sz w:val="32"/>
          <w:szCs w:val="32"/>
          <w:highlight w:val="none"/>
          <w:lang w:val="en-US" w:eastAsia="zh-CN"/>
        </w:rPr>
        <w:t>项目</w:t>
      </w:r>
      <w:r>
        <w:rPr>
          <w:rFonts w:hint="eastAsia" w:ascii="仿宋_GB2312" w:hAnsi="仿宋_GB2312" w:eastAsia="仿宋_GB2312" w:cs="仿宋_GB2312"/>
          <w:bCs/>
          <w:color w:val="auto"/>
          <w:kern w:val="0"/>
          <w:sz w:val="32"/>
          <w:szCs w:val="32"/>
          <w:highlight w:val="none"/>
        </w:rPr>
        <w:t>建设内容、</w:t>
      </w:r>
      <w:r>
        <w:rPr>
          <w:rFonts w:hint="eastAsia" w:ascii="仿宋_GB2312" w:hAnsi="仿宋_GB2312" w:eastAsia="仿宋_GB2312" w:cs="仿宋_GB2312"/>
          <w:bCs/>
          <w:color w:val="auto"/>
          <w:kern w:val="0"/>
          <w:sz w:val="32"/>
          <w:szCs w:val="32"/>
          <w:highlight w:val="none"/>
          <w:lang w:eastAsia="zh-CN"/>
        </w:rPr>
        <w:t>实施</w:t>
      </w:r>
      <w:r>
        <w:rPr>
          <w:rFonts w:hint="eastAsia" w:ascii="仿宋_GB2312" w:hAnsi="仿宋_GB2312" w:eastAsia="仿宋_GB2312" w:cs="仿宋_GB2312"/>
          <w:bCs/>
          <w:color w:val="auto"/>
          <w:kern w:val="0"/>
          <w:sz w:val="32"/>
          <w:szCs w:val="32"/>
          <w:highlight w:val="none"/>
        </w:rPr>
        <w:t>方案及进度安排；申请财政补助</w:t>
      </w:r>
      <w:r>
        <w:rPr>
          <w:rFonts w:hint="eastAsia" w:ascii="仿宋_GB2312" w:hAnsi="仿宋_GB2312" w:eastAsia="仿宋_GB2312" w:cs="仿宋_GB2312"/>
          <w:bCs/>
          <w:color w:val="auto"/>
          <w:kern w:val="0"/>
          <w:sz w:val="32"/>
          <w:szCs w:val="32"/>
          <w:highlight w:val="none"/>
          <w:lang w:eastAsia="zh-CN"/>
        </w:rPr>
        <w:t>金额、</w:t>
      </w:r>
      <w:r>
        <w:rPr>
          <w:rFonts w:hint="eastAsia" w:ascii="仿宋_GB2312" w:hAnsi="仿宋_GB2312" w:eastAsia="仿宋_GB2312" w:cs="仿宋_GB2312"/>
          <w:bCs/>
          <w:color w:val="auto"/>
          <w:kern w:val="0"/>
          <w:sz w:val="32"/>
          <w:szCs w:val="32"/>
          <w:highlight w:val="none"/>
        </w:rPr>
        <w:t>主要用途</w:t>
      </w:r>
      <w:r>
        <w:rPr>
          <w:rFonts w:hint="eastAsia" w:ascii="仿宋_GB2312" w:hAnsi="仿宋_GB2312" w:eastAsia="仿宋_GB2312" w:cs="仿宋_GB2312"/>
          <w:bCs/>
          <w:color w:val="auto"/>
          <w:kern w:val="0"/>
          <w:sz w:val="32"/>
          <w:szCs w:val="32"/>
          <w:highlight w:val="none"/>
          <w:lang w:eastAsia="zh-CN"/>
        </w:rPr>
        <w:t>和使用方式</w:t>
      </w:r>
      <w:r>
        <w:rPr>
          <w:rFonts w:hint="eastAsia" w:ascii="仿宋_GB2312" w:hAnsi="仿宋_GB2312" w:eastAsia="仿宋_GB2312" w:cs="仿宋_GB2312"/>
          <w:bCs/>
          <w:color w:val="auto"/>
          <w:kern w:val="0"/>
          <w:sz w:val="32"/>
          <w:szCs w:val="32"/>
          <w:highlight w:val="none"/>
        </w:rPr>
        <w:t>；项目负责人及任务分工；项目</w:t>
      </w:r>
      <w:r>
        <w:rPr>
          <w:rFonts w:hint="eastAsia" w:ascii="仿宋_GB2312" w:hAnsi="仿宋_GB2312" w:eastAsia="仿宋_GB2312" w:cs="仿宋_GB2312"/>
          <w:bCs/>
          <w:color w:val="auto"/>
          <w:kern w:val="0"/>
          <w:sz w:val="32"/>
          <w:szCs w:val="32"/>
          <w:highlight w:val="none"/>
          <w:lang w:eastAsia="zh-CN"/>
        </w:rPr>
        <w:t>验收总结</w:t>
      </w:r>
      <w:r>
        <w:rPr>
          <w:rFonts w:hint="eastAsia" w:ascii="仿宋_GB2312" w:hAnsi="仿宋_GB2312" w:eastAsia="仿宋_GB2312" w:cs="仿宋_GB2312"/>
          <w:bCs/>
          <w:color w:val="auto"/>
          <w:kern w:val="0"/>
          <w:sz w:val="32"/>
          <w:szCs w:val="32"/>
          <w:highlight w:val="none"/>
        </w:rPr>
        <w:t>等内容。</w:t>
      </w:r>
      <w:r>
        <w:rPr>
          <w:rFonts w:hint="eastAsia" w:ascii="仿宋_GB2312" w:hAnsi="仿宋_GB2312" w:eastAsia="仿宋_GB2312" w:cs="仿宋_GB2312"/>
          <w:bCs/>
          <w:color w:val="auto"/>
          <w:kern w:val="0"/>
          <w:sz w:val="32"/>
          <w:szCs w:val="32"/>
          <w:highlight w:val="none"/>
          <w:lang w:eastAsia="zh-CN"/>
        </w:rPr>
        <w:t>必须填写《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项目金额测算明细表（格式）</w:t>
      </w:r>
    </w:p>
    <w:p>
      <w:pPr>
        <w:keepNext w:val="0"/>
        <w:keepLines/>
        <w:pageBreakBefore w:val="0"/>
        <w:widowControl/>
        <w:kinsoku w:val="0"/>
        <w:wordWrap/>
        <w:overflowPunct/>
        <w:topLinePunct w:val="0"/>
        <w:autoSpaceDE/>
        <w:autoSpaceDN/>
        <w:bidi w:val="0"/>
        <w:adjustRightInd w:val="0"/>
        <w:snapToGrid w:val="0"/>
        <w:spacing w:beforeLines="0" w:afterLines="0" w:line="590" w:lineRule="exact"/>
        <w:ind w:right="0" w:rightChars="0" w:firstLine="560" w:firstLineChars="200"/>
        <w:jc w:val="both"/>
        <w:textAlignment w:val="auto"/>
        <w:outlineLvl w:val="9"/>
        <w:rPr>
          <w:rFonts w:hint="eastAsia" w:ascii="仿宋_GB2312" w:hAnsi="仿宋_GB2312" w:eastAsia="仿宋_GB2312" w:cs="仿宋_GB2312"/>
          <w:bCs/>
          <w:color w:val="auto"/>
          <w:kern w:val="0"/>
          <w:sz w:val="28"/>
          <w:szCs w:val="28"/>
          <w:highlight w:val="none"/>
          <w:lang w:eastAsia="zh-CN"/>
        </w:rPr>
      </w:pPr>
      <w:r>
        <w:rPr>
          <w:rFonts w:hint="eastAsia" w:ascii="仿宋_GB2312" w:hAnsi="仿宋_GB2312" w:eastAsia="仿宋_GB2312" w:cs="仿宋_GB2312"/>
          <w:bCs/>
          <w:color w:val="auto"/>
          <w:kern w:val="0"/>
          <w:sz w:val="28"/>
          <w:szCs w:val="28"/>
          <w:highlight w:val="none"/>
          <w:lang w:eastAsia="zh-CN"/>
        </w:rPr>
        <w:t>单位：</w:t>
      </w:r>
      <w:r>
        <w:rPr>
          <w:rFonts w:hint="eastAsia" w:ascii="仿宋_GB2312" w:hAnsi="仿宋_GB2312" w:eastAsia="仿宋_GB2312" w:cs="仿宋_GB2312"/>
          <w:bCs/>
          <w:color w:val="auto"/>
          <w:kern w:val="0"/>
          <w:sz w:val="28"/>
          <w:szCs w:val="28"/>
          <w:highlight w:val="none"/>
          <w:lang w:val="en-US" w:eastAsia="zh-CN"/>
        </w:rPr>
        <w:t xml:space="preserve">                                 </w:t>
      </w:r>
      <w:r>
        <w:rPr>
          <w:rFonts w:hint="eastAsia" w:ascii="仿宋_GB2312" w:hAnsi="仿宋_GB2312" w:eastAsia="仿宋_GB2312" w:cs="仿宋_GB2312"/>
          <w:bCs/>
          <w:color w:val="auto"/>
          <w:kern w:val="0"/>
          <w:sz w:val="28"/>
          <w:szCs w:val="28"/>
          <w:highlight w:val="none"/>
          <w:lang w:eastAsia="zh-CN"/>
        </w:rPr>
        <w:t>项目名称：</w:t>
      </w:r>
    </w:p>
    <w:tbl>
      <w:tblPr>
        <w:tblStyle w:val="8"/>
        <w:tblW w:w="8874" w:type="dxa"/>
        <w:jc w:val="center"/>
        <w:tblLayout w:type="fixed"/>
        <w:tblCellMar>
          <w:top w:w="15" w:type="dxa"/>
          <w:left w:w="15" w:type="dxa"/>
          <w:bottom w:w="15" w:type="dxa"/>
          <w:right w:w="15" w:type="dxa"/>
        </w:tblCellMar>
      </w:tblPr>
      <w:tblGrid>
        <w:gridCol w:w="638"/>
        <w:gridCol w:w="2003"/>
        <w:gridCol w:w="1093"/>
        <w:gridCol w:w="1022"/>
        <w:gridCol w:w="1206"/>
        <w:gridCol w:w="2912"/>
      </w:tblGrid>
      <w:tr>
        <w:tblPrEx>
          <w:tblCellMar>
            <w:top w:w="15" w:type="dxa"/>
            <w:left w:w="15" w:type="dxa"/>
            <w:bottom w:w="15" w:type="dxa"/>
            <w:right w:w="15" w:type="dxa"/>
          </w:tblCellMar>
        </w:tblPrEx>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序号</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支出科目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数量</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金额(元)</w:t>
            </w:r>
          </w:p>
        </w:tc>
        <w:tc>
          <w:tcPr>
            <w:tcW w:w="29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备注（计算过程或说明）</w:t>
            </w:r>
          </w:p>
        </w:tc>
      </w:tr>
      <w:tr>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（计算说明）</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val="en-US" w:eastAsia="zh-CN" w:bidi="ar"/>
              </w:rPr>
            </w:pPr>
            <w:r>
              <w:rPr>
                <w:rFonts w:hint="eastAsia" w:ascii="黑体" w:hAnsi="黑体" w:eastAsia="黑体" w:cs="黑体"/>
                <w:bCs/>
                <w:color w:val="auto"/>
                <w:kern w:val="0"/>
                <w:sz w:val="24"/>
                <w:szCs w:val="24"/>
                <w:lang w:bidi="ar"/>
              </w:rPr>
              <w:t>如：次/天/人数</w:t>
            </w:r>
            <w:r>
              <w:rPr>
                <w:rFonts w:hint="eastAsia" w:ascii="黑体" w:hAnsi="黑体" w:eastAsia="黑体" w:cs="黑体"/>
                <w:bCs/>
                <w:color w:val="auto"/>
                <w:kern w:val="0"/>
                <w:sz w:val="24"/>
                <w:szCs w:val="24"/>
                <w:lang w:val="en-US" w:eastAsia="zh-CN" w:bidi="ar"/>
              </w:rPr>
              <w:t>/亩</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计算标准</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r>
      <w:tr>
        <w:tblPrEx>
          <w:tblCellMar>
            <w:top w:w="15" w:type="dxa"/>
            <w:left w:w="15" w:type="dxa"/>
            <w:bottom w:w="15" w:type="dxa"/>
            <w:right w:w="15" w:type="dxa"/>
          </w:tblCellMar>
        </w:tblPrEx>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0</w:t>
            </w: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4</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5</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8874" w:type="dxa"/>
            <w:gridSpan w:val="6"/>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数量难以确定的支出项目，可不填数量、单价，直接填写预算金额。</w:t>
            </w:r>
          </w:p>
        </w:tc>
      </w:tr>
    </w:tbl>
    <w:p>
      <w:pPr>
        <w:keepNext w:val="0"/>
        <w:keepLines/>
        <w:pageBreakBefore w:val="0"/>
        <w:widowControl/>
        <w:kinsoku w:val="0"/>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kern w:val="0"/>
          <w:sz w:val="32"/>
          <w:szCs w:val="32"/>
        </w:rPr>
        <w:sectPr>
          <w:headerReference r:id="rId5" w:type="default"/>
          <w:footerReference r:id="rId6" w:type="default"/>
          <w:footerReference r:id="rId7" w:type="even"/>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val="0"/>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pPr>
        <w:keepNext w:val="0"/>
        <w:keepLines w:val="0"/>
        <w:pageBreakBefore w:val="0"/>
        <w:widowControl w:val="0"/>
        <w:kinsoku w:val="0"/>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rPr>
      </w:pPr>
      <w:r>
        <w:rPr>
          <w:rFonts w:hint="eastAsia" w:ascii="仿宋_GB2312" w:hAnsi="仿宋_GB2312" w:eastAsia="仿宋_GB2312" w:cs="仿宋_GB2312"/>
          <w:bCs/>
          <w:snapToGrid w:val="0"/>
          <w:color w:val="auto"/>
          <w:spacing w:val="0"/>
          <w:kern w:val="0"/>
          <w:sz w:val="32"/>
          <w:szCs w:val="32"/>
        </w:rPr>
        <w:t>包含</w:t>
      </w:r>
      <w:r>
        <w:rPr>
          <w:rFonts w:hint="eastAsia" w:ascii="仿宋_GB2312" w:hAnsi="仿宋_GB2312" w:eastAsia="仿宋_GB2312" w:cs="仿宋_GB2312"/>
          <w:bCs/>
          <w:snapToGrid w:val="0"/>
          <w:color w:val="auto"/>
          <w:spacing w:val="0"/>
          <w:kern w:val="0"/>
          <w:sz w:val="32"/>
          <w:szCs w:val="32"/>
          <w:lang w:val="en-US" w:eastAsia="zh-CN"/>
        </w:rPr>
        <w:t>产出指标和效益指标、</w:t>
      </w:r>
      <w:r>
        <w:rPr>
          <w:rFonts w:hint="eastAsia" w:ascii="仿宋_GB2312" w:hAnsi="仿宋_GB2312" w:eastAsia="仿宋_GB2312" w:cs="仿宋_GB2312"/>
          <w:bCs/>
          <w:snapToGrid w:val="0"/>
          <w:color w:val="auto"/>
          <w:spacing w:val="0"/>
          <w:kern w:val="0"/>
          <w:sz w:val="32"/>
          <w:szCs w:val="32"/>
        </w:rPr>
        <w:t>项目管理、保障机制及措施等内容。</w:t>
      </w:r>
    </w:p>
    <w:p>
      <w:pPr>
        <w:keepNext w:val="0"/>
        <w:keepLines w:val="0"/>
        <w:pageBreakBefore w:val="0"/>
        <w:widowControl w:val="0"/>
        <w:kinsoku w:val="0"/>
        <w:wordWrap/>
        <w:overflowPunct/>
        <w:topLinePunct w:val="0"/>
        <w:autoSpaceDE/>
        <w:autoSpaceDN/>
        <w:bidi w:val="0"/>
        <w:adjustRightInd w:val="0"/>
        <w:snapToGrid w:val="0"/>
        <w:spacing w:beforeLines="0" w:afterLines="0" w:line="590" w:lineRule="exact"/>
        <w:ind w:right="0" w:rightChars="0" w:firstLine="640" w:firstLineChars="200"/>
        <w:jc w:val="both"/>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项目支出绩效目标表（格式）</w:t>
      </w:r>
    </w:p>
    <w:p>
      <w:pPr>
        <w:keepNext w:val="0"/>
        <w:keepLines/>
        <w:pageBreakBefore w:val="0"/>
        <w:widowControl/>
        <w:kinsoku w:val="0"/>
        <w:wordWrap/>
        <w:overflowPunct/>
        <w:topLinePunct w:val="0"/>
        <w:autoSpaceDE/>
        <w:autoSpaceDN/>
        <w:bidi w:val="0"/>
        <w:adjustRightInd w:val="0"/>
        <w:snapToGrid w:val="0"/>
        <w:spacing w:beforeLines="0" w:afterLines="0" w:line="590" w:lineRule="exact"/>
        <w:ind w:right="0" w:rightChars="0" w:firstLine="560" w:firstLineChars="20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bidi="ar"/>
        </w:rPr>
        <w:t xml:space="preserve">单位：                   </w:t>
      </w:r>
      <w:r>
        <w:rPr>
          <w:rFonts w:hint="eastAsia" w:ascii="仿宋_GB2312" w:hAnsi="仿宋_GB2312" w:eastAsia="仿宋_GB2312" w:cs="仿宋_GB2312"/>
          <w:color w:val="auto"/>
          <w:kern w:val="0"/>
          <w:sz w:val="28"/>
          <w:szCs w:val="28"/>
          <w:lang w:val="en-US" w:eastAsia="zh-CN" w:bidi="ar"/>
        </w:rPr>
        <w:t xml:space="preserve">       </w:t>
      </w:r>
      <w:r>
        <w:rPr>
          <w:rFonts w:hint="eastAsia" w:ascii="仿宋_GB2312" w:hAnsi="仿宋_GB2312" w:eastAsia="仿宋_GB2312" w:cs="仿宋_GB2312"/>
          <w:color w:val="auto"/>
          <w:kern w:val="0"/>
          <w:sz w:val="28"/>
          <w:szCs w:val="28"/>
          <w:lang w:bidi="ar"/>
        </w:rPr>
        <w:t xml:space="preserve">     项目名称：</w:t>
      </w:r>
    </w:p>
    <w:tbl>
      <w:tblPr>
        <w:tblStyle w:val="8"/>
        <w:tblW w:w="8979" w:type="dxa"/>
        <w:jc w:val="center"/>
        <w:tblLayout w:type="fixed"/>
        <w:tblCellMar>
          <w:top w:w="15" w:type="dxa"/>
          <w:left w:w="15" w:type="dxa"/>
          <w:bottom w:w="15" w:type="dxa"/>
          <w:right w:w="15" w:type="dxa"/>
        </w:tblCellMar>
      </w:tblPr>
      <w:tblGrid>
        <w:gridCol w:w="704"/>
        <w:gridCol w:w="1187"/>
        <w:gridCol w:w="2232"/>
        <w:gridCol w:w="804"/>
        <w:gridCol w:w="4052"/>
      </w:tblGrid>
      <w:tr>
        <w:tblPrEx>
          <w:tblCellMar>
            <w:top w:w="15" w:type="dxa"/>
            <w:left w:w="15" w:type="dxa"/>
            <w:bottom w:w="15" w:type="dxa"/>
            <w:right w:w="15" w:type="dxa"/>
          </w:tblCellMar>
        </w:tblPrEx>
        <w:trPr>
          <w:trHeight w:val="567" w:hRule="atLeast"/>
          <w:tblHeader/>
          <w:jc w:val="center"/>
        </w:trPr>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绩效目标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当年度</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目标*</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填写说明</w:t>
            </w:r>
          </w:p>
        </w:tc>
      </w:tr>
      <w:tr>
        <w:tblPrEx>
          <w:tblCellMar>
            <w:top w:w="15" w:type="dxa"/>
            <w:left w:w="15" w:type="dxa"/>
            <w:bottom w:w="15" w:type="dxa"/>
            <w:right w:w="15" w:type="dxa"/>
          </w:tblCellMar>
        </w:tblPrEx>
        <w:trPr>
          <w:trHeight w:val="1496" w:hRule="atLeast"/>
          <w:jc w:val="center"/>
        </w:trPr>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总体目标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913"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一级</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指标</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二级指标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三级指标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当年度</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指标值</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产</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出</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指</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标</w:t>
            </w:r>
          </w:p>
        </w:tc>
        <w:tc>
          <w:tcPr>
            <w:tcW w:w="11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数量指标*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bidi="ar"/>
              </w:rPr>
              <w:t>化肥减量增效“三新”示范面积（万亩）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bidi="ar"/>
              </w:rPr>
              <w:t>根据申报的项目类型</w:t>
            </w:r>
            <w:r>
              <w:rPr>
                <w:rFonts w:hint="eastAsia" w:ascii="仿宋_GB2312" w:hAnsi="仿宋_GB2312" w:eastAsia="仿宋_GB2312" w:cs="仿宋_GB2312"/>
                <w:color w:val="auto"/>
                <w:kern w:val="0"/>
                <w:sz w:val="24"/>
                <w:szCs w:val="24"/>
                <w:lang w:bidi="ar"/>
              </w:rPr>
              <w:t>对目标任务用指标值进行量化描述</w:t>
            </w:r>
            <w:r>
              <w:rPr>
                <w:rFonts w:hint="eastAsia" w:ascii="仿宋_GB2312" w:hAnsi="仿宋_GB2312" w:eastAsia="仿宋_GB2312" w:cs="仿宋_GB2312"/>
                <w:color w:val="auto"/>
                <w:kern w:val="0"/>
                <w:sz w:val="24"/>
                <w:szCs w:val="24"/>
                <w:lang w:val="en-US" w:eastAsia="zh-CN" w:bidi="ar"/>
              </w:rPr>
              <w:t>。</w:t>
            </w: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1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1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质量指标*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配方肥到位率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p>
        </w:tc>
        <w:tc>
          <w:tcPr>
            <w:tcW w:w="405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Style w:val="14"/>
                <w:rFonts w:hint="eastAsia" w:ascii="仿宋_GB2312" w:hAnsi="仿宋_GB2312" w:eastAsia="仿宋_GB2312" w:cs="仿宋_GB2312"/>
                <w:color w:val="auto"/>
                <w:kern w:val="0"/>
                <w:sz w:val="24"/>
                <w:szCs w:val="24"/>
                <w:lang w:bidi="ar"/>
              </w:rPr>
              <w:t>对目标任务的质量要求（标准）进行量化描述，确实无法量化的指标值可采用定性表述。</w:t>
            </w:r>
          </w:p>
        </w:tc>
      </w:tr>
      <w:tr>
        <w:tblPrEx>
          <w:tblCellMar>
            <w:top w:w="15" w:type="dxa"/>
            <w:left w:w="15" w:type="dxa"/>
            <w:bottom w:w="15" w:type="dxa"/>
            <w:right w:w="15" w:type="dxa"/>
          </w:tblCellMar>
        </w:tblPrEx>
        <w:trPr>
          <w:trHeight w:val="706"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1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968"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时效指标*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bidi="ar"/>
              </w:rPr>
              <w:t>项目</w:t>
            </w:r>
            <w:r>
              <w:rPr>
                <w:rFonts w:hint="eastAsia" w:ascii="仿宋_GB2312" w:hAnsi="仿宋_GB2312" w:eastAsia="仿宋_GB2312" w:cs="仿宋_GB2312"/>
                <w:color w:val="auto"/>
                <w:kern w:val="0"/>
                <w:sz w:val="24"/>
                <w:szCs w:val="24"/>
                <w:lang w:bidi="ar"/>
              </w:rPr>
              <w:t>完成时限</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对目标任务的完成时间进行量化描述。如：完成时限，202</w:t>
            </w: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年12月31日前</w:t>
            </w:r>
          </w:p>
        </w:tc>
      </w:tr>
      <w:tr>
        <w:tblPrEx>
          <w:tblCellMar>
            <w:top w:w="15" w:type="dxa"/>
            <w:left w:w="15" w:type="dxa"/>
            <w:bottom w:w="15" w:type="dxa"/>
            <w:right w:w="15" w:type="dxa"/>
          </w:tblCellMar>
        </w:tblPrEx>
        <w:trPr>
          <w:trHeight w:val="126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成本指标*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化肥施用量减少数量</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（公斤/亩）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对资金支出成本控制进行量化描述。确实无法量化的指标值可采用定性表述。如：XX≦项目成本支出</w:t>
            </w:r>
          </w:p>
        </w:tc>
      </w:tr>
      <w:tr>
        <w:tblPrEx>
          <w:tblCellMar>
            <w:top w:w="15" w:type="dxa"/>
            <w:left w:w="15" w:type="dxa"/>
            <w:bottom w:w="15" w:type="dxa"/>
            <w:right w:w="15" w:type="dxa"/>
          </w:tblCellMar>
        </w:tblPrEx>
        <w:trPr>
          <w:trHeight w:val="56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效</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益</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指</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标</w:t>
            </w:r>
          </w:p>
        </w:tc>
        <w:tc>
          <w:tcPr>
            <w:tcW w:w="11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经济效益指标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主要农作物亩产产值提升情况（元/亩）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856"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社会效益指标</w:t>
            </w:r>
            <w:r>
              <w:rPr>
                <w:rFonts w:hint="eastAsia" w:ascii="仿宋_GB2312" w:hAnsi="仿宋_GB2312" w:eastAsia="仿宋_GB2312" w:cs="仿宋_GB2312"/>
                <w:color w:val="auto"/>
                <w:kern w:val="0"/>
                <w:sz w:val="24"/>
                <w:szCs w:val="24"/>
                <w:lang w:bidi="ar"/>
              </w:rPr>
              <w:t>*</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统配统施等社会化服务主体培育情况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生态效益指标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bidi="ar"/>
              </w:rPr>
              <w:t>项目示范区</w:t>
            </w:r>
            <w:r>
              <w:rPr>
                <w:rFonts w:hint="eastAsia" w:ascii="仿宋_GB2312" w:hAnsi="仿宋_GB2312" w:eastAsia="仿宋_GB2312" w:cs="仿宋_GB2312"/>
                <w:color w:val="auto"/>
                <w:kern w:val="0"/>
                <w:sz w:val="24"/>
                <w:szCs w:val="24"/>
                <w:lang w:bidi="ar"/>
              </w:rPr>
              <w:t>主要农作物化肥利用率</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可持续影响指标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项目工作机制建立情况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反映项目完成后，后续政策、资金保障程序，以及管理机制（人员机构）因素完善水平</w:t>
            </w: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bl>
    <w:p>
      <w:pPr>
        <w:keepNext w:val="0"/>
        <w:keepLines/>
        <w:pageBreakBefore w:val="0"/>
        <w:widowControl/>
        <w:kinsoku w:val="0"/>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kern w:val="0"/>
          <w:sz w:val="24"/>
          <w:szCs w:val="24"/>
          <w:lang w:eastAsia="zh-CN" w:bidi="ar"/>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spacing w:val="0"/>
          <w:kern w:val="0"/>
          <w:sz w:val="24"/>
          <w:szCs w:val="24"/>
          <w:lang w:bidi="ar"/>
        </w:rPr>
        <w:t>是必填项，产出指标4个二级指标必填写。效益指标可选填其中某几个指标</w:t>
      </w:r>
      <w:r>
        <w:rPr>
          <w:rFonts w:hint="eastAsia" w:ascii="仿宋_GB2312" w:hAnsi="仿宋_GB2312" w:eastAsia="仿宋_GB2312" w:cs="仿宋_GB2312"/>
          <w:color w:val="auto"/>
          <w:spacing w:val="0"/>
          <w:kern w:val="0"/>
          <w:sz w:val="24"/>
          <w:szCs w:val="24"/>
          <w:lang w:eastAsia="zh-CN" w:bidi="ar"/>
        </w:rPr>
        <w:t>。</w:t>
      </w:r>
    </w:p>
    <w:p>
      <w:pPr>
        <w:keepNext w:val="0"/>
        <w:keepLines/>
        <w:pageBreakBefore w:val="0"/>
        <w:widowControl/>
        <w:kinsoku w:val="0"/>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六、项目审核情况</w:t>
      </w:r>
    </w:p>
    <w:tbl>
      <w:tblPr>
        <w:tblStyle w:val="8"/>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1323" w:type="dxa"/>
            <w:noWrap w:val="0"/>
            <w:vAlign w:val="center"/>
          </w:tcPr>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8" w:type="dxa"/>
            <w:noWrap w:val="0"/>
            <w:vAlign w:val="top"/>
          </w:tcPr>
          <w:p>
            <w:pPr>
              <w:pStyle w:val="5"/>
              <w:keepNext w:val="0"/>
              <w:keepLines/>
              <w:pageBreakBefore w:val="0"/>
              <w:widowControl/>
              <w:kinsoku w:val="0"/>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5"/>
              <w:keepNext w:val="0"/>
              <w:keepLines/>
              <w:pageBreakBefore w:val="0"/>
              <w:widowControl/>
              <w:kinsoku w:val="0"/>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Lines/>
              <w:widowControl/>
              <w:kinsoku w:val="0"/>
              <w:wordWrap/>
              <w:overflowPunct/>
              <w:adjustRightInd w:val="0"/>
              <w:snapToGrid w:val="0"/>
              <w:spacing w:beforeLines="0" w:afterLines="0" w:line="240" w:lineRule="auto"/>
              <w:ind w:firstLine="0" w:firstLineChars="0"/>
              <w:rPr>
                <w:rFonts w:hint="eastAsia" w:ascii="仿宋_GB2312" w:hAnsi="仿宋_GB2312" w:eastAsia="仿宋_GB2312" w:cs="仿宋_GB2312"/>
                <w:color w:val="auto"/>
                <w:kern w:val="0"/>
                <w:sz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center"/>
        </w:trPr>
        <w:tc>
          <w:tcPr>
            <w:tcW w:w="1323" w:type="dxa"/>
            <w:noWrap w:val="0"/>
            <w:vAlign w:val="center"/>
          </w:tcPr>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主管部门</w:t>
            </w: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审核意见</w:t>
            </w:r>
          </w:p>
        </w:tc>
        <w:tc>
          <w:tcPr>
            <w:tcW w:w="7598" w:type="dxa"/>
            <w:noWrap w:val="0"/>
            <w:vAlign w:val="bottom"/>
          </w:tcPr>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bl>
    <w:p>
      <w:pPr>
        <w:keepNext w:val="0"/>
        <w:keepLines/>
        <w:pageBreakBefore w:val="0"/>
        <w:widowControl/>
        <w:kinsoku w:val="0"/>
        <w:wordWrap/>
        <w:overflowPunct/>
        <w:topLinePunct w:val="0"/>
        <w:autoSpaceDE/>
        <w:autoSpaceDN/>
        <w:bidi w:val="0"/>
        <w:adjustRightInd w:val="0"/>
        <w:snapToGrid w:val="0"/>
        <w:spacing w:line="590" w:lineRule="exact"/>
        <w:jc w:val="both"/>
        <w:textAlignment w:val="auto"/>
        <w:rPr>
          <w:rStyle w:val="10"/>
          <w:rFonts w:hint="eastAsia" w:ascii="方正小标宋简体" w:hAnsi="方正小标宋简体" w:eastAsia="方正小标宋简体" w:cs="方正小标宋简体"/>
          <w:b w:val="0"/>
          <w:bCs w:val="0"/>
          <w:sz w:val="36"/>
          <w:szCs w:val="36"/>
        </w:rPr>
        <w:sectPr>
          <w:footerReference r:id="rId8" w:type="default"/>
          <w:pgSz w:w="11906" w:h="16838"/>
          <w:pgMar w:top="1871" w:right="1531" w:bottom="1871" w:left="1531" w:header="851" w:footer="1417" w:gutter="0"/>
          <w:pgNumType w:fmt="decimal"/>
          <w:cols w:space="720" w:num="1"/>
          <w:rtlGutter w:val="0"/>
          <w:docGrid w:type="lines" w:linePitch="595" w:charSpace="0"/>
        </w:sectPr>
      </w:pPr>
    </w:p>
    <w:p>
      <w:pPr>
        <w:keepNext w:val="0"/>
        <w:keepLines/>
        <w:pageBreakBefore w:val="0"/>
        <w:widowControl/>
        <w:kinsoku w:val="0"/>
        <w:wordWrap/>
        <w:overflowPunct/>
        <w:topLinePunct w:val="0"/>
        <w:autoSpaceDE/>
        <w:autoSpaceDN/>
        <w:bidi w:val="0"/>
        <w:adjustRightInd w:val="0"/>
        <w:snapToGrid w:val="0"/>
        <w:spacing w:beforeLines="0" w:afterLines="0" w:line="590" w:lineRule="exact"/>
        <w:ind w:right="0" w:rightChars="0" w:firstLine="0" w:firstLineChars="0"/>
        <w:jc w:val="both"/>
        <w:rPr>
          <w:rFonts w:hint="default"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附件</w:t>
      </w:r>
      <w:r>
        <w:rPr>
          <w:rFonts w:hint="eastAsia" w:ascii="黑体" w:hAnsi="黑体" w:eastAsia="黑体" w:cs="黑体"/>
          <w:b w:val="0"/>
          <w:bCs w:val="0"/>
          <w:color w:val="auto"/>
          <w:kern w:val="0"/>
          <w:sz w:val="32"/>
          <w:szCs w:val="32"/>
          <w:lang w:val="en-US" w:eastAsia="zh-CN"/>
        </w:rPr>
        <w:t>2</w:t>
      </w:r>
    </w:p>
    <w:p>
      <w:pPr>
        <w:pStyle w:val="2"/>
        <w:keepNext w:val="0"/>
        <w:keepLines/>
        <w:widowControl/>
        <w:kinsoku w:val="0"/>
        <w:wordWrap/>
        <w:overflowPunct/>
        <w:adjustRightInd w:val="0"/>
        <w:snapToGrid w:val="0"/>
        <w:spacing w:before="0" w:beforeLines="0" w:after="0" w:afterLines="0" w:line="590" w:lineRule="exact"/>
        <w:ind w:left="0" w:leftChars="0" w:firstLine="0" w:firstLineChars="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2024年化肥减量增效项目申报汇总表</w:t>
      </w:r>
    </w:p>
    <w:p>
      <w:pPr>
        <w:pStyle w:val="2"/>
        <w:keepNext w:val="0"/>
        <w:keepLines/>
        <w:widowControl/>
        <w:kinsoku w:val="0"/>
        <w:wordWrap/>
        <w:overflowPunct/>
        <w:adjustRightInd w:val="0"/>
        <w:snapToGrid w:val="0"/>
        <w:spacing w:before="0" w:beforeLines="0" w:after="0" w:afterLines="0" w:line="590" w:lineRule="exact"/>
        <w:ind w:firstLine="600" w:firstLineChars="200"/>
        <w:jc w:val="left"/>
        <w:rPr>
          <w:rFonts w:hint="eastAsia" w:ascii="仿宋_GB2312" w:hAnsi="宋体" w:eastAsia="仿宋_GB2312" w:cs="仿宋_GB2312"/>
          <w:b w:val="0"/>
          <w:bCs w:val="0"/>
          <w:i w:val="0"/>
          <w:color w:val="000000"/>
          <w:kern w:val="0"/>
          <w:sz w:val="30"/>
          <w:szCs w:val="30"/>
          <w:u w:val="none"/>
          <w:lang w:val="en-US" w:eastAsia="zh-CN" w:bidi="ar"/>
        </w:rPr>
      </w:pPr>
    </w:p>
    <w:p>
      <w:pPr>
        <w:pStyle w:val="2"/>
        <w:keepNext w:val="0"/>
        <w:keepLines/>
        <w:pageBreakBefore w:val="0"/>
        <w:widowControl/>
        <w:kinsoku w:val="0"/>
        <w:wordWrap/>
        <w:overflowPunct/>
        <w:topLinePunct w:val="0"/>
        <w:autoSpaceDE/>
        <w:autoSpaceDN/>
        <w:bidi w:val="0"/>
        <w:adjustRightInd w:val="0"/>
        <w:snapToGrid w:val="0"/>
        <w:spacing w:before="0" w:beforeLines="0" w:after="161" w:afterLines="50" w:line="590" w:lineRule="exact"/>
        <w:ind w:firstLine="600" w:firstLineChars="200"/>
        <w:jc w:val="left"/>
        <w:textAlignment w:val="auto"/>
        <w:rPr>
          <w:rFonts w:hint="eastAsia" w:ascii="方正小标宋简体" w:hAnsi="方正小标宋简体" w:eastAsia="方正小标宋简体" w:cs="方正小标宋简体"/>
          <w:b w:val="0"/>
          <w:bCs w:val="0"/>
          <w:color w:val="auto"/>
          <w:kern w:val="0"/>
          <w:sz w:val="30"/>
          <w:szCs w:val="30"/>
          <w:lang w:bidi="ar"/>
        </w:rPr>
      </w:pPr>
      <w:r>
        <w:rPr>
          <w:rFonts w:hint="eastAsia" w:ascii="仿宋_GB2312" w:hAnsi="宋体" w:eastAsia="仿宋_GB2312" w:cs="仿宋_GB2312"/>
          <w:b w:val="0"/>
          <w:bCs w:val="0"/>
          <w:i w:val="0"/>
          <w:color w:val="000000"/>
          <w:kern w:val="0"/>
          <w:sz w:val="30"/>
          <w:szCs w:val="30"/>
          <w:u w:val="none"/>
          <w:lang w:val="en-US" w:eastAsia="zh-CN" w:bidi="ar"/>
        </w:rPr>
        <w:t>项目申报单位（盖章）：</w:t>
      </w:r>
    </w:p>
    <w:tbl>
      <w:tblPr>
        <w:tblStyle w:val="8"/>
        <w:tblW w:w="57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04"/>
        <w:gridCol w:w="1393"/>
        <w:gridCol w:w="1483"/>
        <w:gridCol w:w="2504"/>
        <w:gridCol w:w="1933"/>
        <w:gridCol w:w="2061"/>
        <w:gridCol w:w="2061"/>
        <w:gridCol w:w="1720"/>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tblHeader/>
          <w:jc w:val="center"/>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类别</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资金方向</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项目类型</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项目名称</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项目承担单位</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default"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项目负责人</w:t>
            </w:r>
            <w:bookmarkStart w:id="0" w:name="_GoBack"/>
            <w:bookmarkEnd w:id="0"/>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建设内容</w:t>
            </w:r>
          </w:p>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（限100字以内）</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绩效</w:t>
            </w:r>
          </w:p>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default" w:ascii="黑体" w:hAnsi="黑体" w:eastAsia="黑体" w:cs="黑体"/>
                <w:i w:val="0"/>
                <w:color w:val="000000"/>
                <w:sz w:val="24"/>
                <w:szCs w:val="24"/>
                <w:u w:val="none"/>
                <w:lang w:val="en-US"/>
              </w:rPr>
            </w:pPr>
            <w:r>
              <w:rPr>
                <w:rFonts w:hint="eastAsia" w:ascii="黑体" w:hAnsi="黑体" w:eastAsia="黑体" w:cs="黑体"/>
                <w:i w:val="0"/>
                <w:color w:val="000000"/>
                <w:kern w:val="0"/>
                <w:sz w:val="24"/>
                <w:szCs w:val="24"/>
                <w:u w:val="none"/>
                <w:lang w:val="en-US" w:eastAsia="zh-CN" w:bidi="ar"/>
              </w:rPr>
              <w:t>(限100字以内)</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450" w:type="pct"/>
            <w:vMerge w:val="restart"/>
            <w:noWrap w:val="0"/>
            <w:vAlign w:val="center"/>
          </w:tcPr>
          <w:p>
            <w:pPr>
              <w:keepLines/>
              <w:widowControl/>
              <w:kinsoku w:val="0"/>
              <w:wordWrap/>
              <w:overflowPunct/>
              <w:adjustRightInd w:val="0"/>
              <w:snapToGrid w:val="0"/>
              <w:spacing w:beforeLines="0" w:afterLines="0" w:line="240" w:lineRule="auto"/>
              <w:ind w:left="0" w:leftChars="0" w:firstLine="0" w:firstLineChars="0"/>
              <w:jc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202</w:t>
            </w:r>
            <w:r>
              <w:rPr>
                <w:rFonts w:hint="eastAsia" w:ascii="仿宋_GB2312" w:hAnsi="仿宋_GB2312" w:eastAsia="仿宋_GB2312" w:cs="仿宋_GB2312"/>
                <w:i w:val="0"/>
                <w:color w:val="auto"/>
                <w:sz w:val="24"/>
                <w:szCs w:val="24"/>
                <w:u w:val="none"/>
                <w:lang w:val="en-US" w:eastAsia="zh-CN"/>
              </w:rPr>
              <w:t>4</w:t>
            </w:r>
            <w:r>
              <w:rPr>
                <w:rFonts w:hint="eastAsia" w:ascii="仿宋_GB2312" w:hAnsi="仿宋_GB2312" w:eastAsia="仿宋_GB2312" w:cs="仿宋_GB2312"/>
                <w:i w:val="0"/>
                <w:color w:val="auto"/>
                <w:sz w:val="24"/>
                <w:szCs w:val="24"/>
                <w:u w:val="none"/>
              </w:rPr>
              <w:t>年中央转移支付</w:t>
            </w:r>
          </w:p>
          <w:p>
            <w:pPr>
              <w:keepLines/>
              <w:widowControl/>
              <w:kinsoku w:val="0"/>
              <w:wordWrap/>
              <w:overflowPunct/>
              <w:adjustRightInd w:val="0"/>
              <w:snapToGrid w:val="0"/>
              <w:spacing w:beforeLines="0" w:afterLines="0" w:line="240" w:lineRule="auto"/>
              <w:ind w:left="0" w:leftChars="0" w:firstLine="0" w:firstLineChars="0"/>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sz w:val="24"/>
                <w:szCs w:val="24"/>
                <w:u w:val="none"/>
              </w:rPr>
              <w:t>资金项目</w:t>
            </w:r>
          </w:p>
        </w:tc>
        <w:tc>
          <w:tcPr>
            <w:tcW w:w="446" w:type="pct"/>
            <w:vMerge w:val="restart"/>
            <w:noWrap w:val="0"/>
            <w:vAlign w:val="center"/>
          </w:tcPr>
          <w:p>
            <w:pPr>
              <w:keepNext w:val="0"/>
              <w:keepLines/>
              <w:widowControl/>
              <w:suppressLineNumbers w:val="0"/>
              <w:kinsoku w:val="0"/>
              <w:wordWrap/>
              <w:overflowPunct/>
              <w:adjustRightInd w:val="0"/>
              <w:snapToGrid w:val="0"/>
              <w:spacing w:beforeLines="0" w:afterLines="0" w:line="240" w:lineRule="auto"/>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耕地建设与利用资金</w:t>
            </w:r>
          </w:p>
        </w:tc>
        <w:tc>
          <w:tcPr>
            <w:tcW w:w="475" w:type="pct"/>
            <w:vMerge w:val="restart"/>
            <w:noWrap w:val="0"/>
            <w:vAlign w:val="center"/>
          </w:tcPr>
          <w:p>
            <w:pPr>
              <w:keepNext w:val="0"/>
              <w:keepLines/>
              <w:widowControl/>
              <w:suppressLineNumbers w:val="0"/>
              <w:kinsoku w:val="0"/>
              <w:wordWrap/>
              <w:overflowPunct/>
              <w:adjustRightInd w:val="0"/>
              <w:snapToGrid w:val="0"/>
              <w:spacing w:beforeLines="0" w:afterLines="0" w:line="240" w:lineRule="auto"/>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化肥减量增效</w:t>
            </w:r>
          </w:p>
        </w:tc>
        <w:tc>
          <w:tcPr>
            <w:tcW w:w="802" w:type="pct"/>
            <w:noWrap w:val="0"/>
            <w:vAlign w:val="center"/>
          </w:tcPr>
          <w:p>
            <w:pPr>
              <w:keepLines/>
              <w:widowControl/>
              <w:kinsoku/>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sz w:val="24"/>
                <w:szCs w:val="24"/>
                <w:u w:val="none"/>
                <w:lang w:val="en-US" w:eastAsia="zh-CN"/>
              </w:rPr>
              <w:t>1.田间试验</w:t>
            </w:r>
          </w:p>
        </w:tc>
        <w:tc>
          <w:tcPr>
            <w:tcW w:w="619"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660"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660"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551"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332"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450" w:type="pct"/>
            <w:vMerge w:val="continue"/>
            <w:noWrap w:val="0"/>
            <w:vAlign w:val="center"/>
          </w:tcPr>
          <w:p>
            <w:pPr>
              <w:keepLines/>
              <w:widowControl/>
              <w:kinsoku w:val="0"/>
              <w:wordWrap/>
              <w:overflowPunct/>
              <w:adjustRightInd w:val="0"/>
              <w:snapToGrid w:val="0"/>
              <w:spacing w:beforeLines="0" w:afterLines="0" w:line="240" w:lineRule="auto"/>
              <w:jc w:val="center"/>
              <w:rPr>
                <w:rFonts w:hint="eastAsia" w:ascii="仿宋_GB2312" w:hAnsi="仿宋_GB2312" w:eastAsia="仿宋_GB2312" w:cs="仿宋_GB2312"/>
                <w:i w:val="0"/>
                <w:color w:val="auto"/>
                <w:sz w:val="24"/>
                <w:szCs w:val="24"/>
                <w:u w:val="none"/>
              </w:rPr>
            </w:pPr>
          </w:p>
        </w:tc>
        <w:tc>
          <w:tcPr>
            <w:tcW w:w="446" w:type="pct"/>
            <w:vMerge w:val="continue"/>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both"/>
              <w:textAlignment w:val="center"/>
              <w:rPr>
                <w:rFonts w:hint="eastAsia" w:ascii="仿宋_GB2312" w:hAnsi="仿宋_GB2312" w:eastAsia="仿宋_GB2312" w:cs="仿宋_GB2312"/>
                <w:i w:val="0"/>
                <w:color w:val="auto"/>
                <w:kern w:val="0"/>
                <w:sz w:val="24"/>
                <w:szCs w:val="24"/>
                <w:u w:val="none"/>
                <w:lang w:val="en-US" w:eastAsia="zh-CN" w:bidi="ar"/>
              </w:rPr>
            </w:pPr>
          </w:p>
        </w:tc>
        <w:tc>
          <w:tcPr>
            <w:tcW w:w="475" w:type="pct"/>
            <w:vMerge w:val="continue"/>
            <w:noWrap w:val="0"/>
            <w:vAlign w:val="center"/>
          </w:tcPr>
          <w:p>
            <w:pPr>
              <w:keepNext w:val="0"/>
              <w:keepLines/>
              <w:widowControl/>
              <w:suppressLineNumbers w:val="0"/>
              <w:kinsoku w:val="0"/>
              <w:wordWrap/>
              <w:overflowPunct/>
              <w:adjustRightInd w:val="0"/>
              <w:snapToGrid w:val="0"/>
              <w:spacing w:beforeLines="0" w:afterLines="0" w:line="240" w:lineRule="auto"/>
              <w:jc w:val="left"/>
              <w:textAlignment w:val="center"/>
              <w:rPr>
                <w:rFonts w:hint="default" w:ascii="仿宋_GB2312" w:hAnsi="仿宋_GB2312" w:eastAsia="仿宋_GB2312" w:cs="仿宋_GB2312"/>
                <w:i w:val="0"/>
                <w:color w:val="auto"/>
                <w:sz w:val="24"/>
                <w:szCs w:val="24"/>
                <w:u w:val="none"/>
                <w:lang w:val="en-US" w:eastAsia="zh-CN"/>
              </w:rPr>
            </w:pPr>
          </w:p>
        </w:tc>
        <w:tc>
          <w:tcPr>
            <w:tcW w:w="802" w:type="pct"/>
            <w:noWrap w:val="0"/>
            <w:vAlign w:val="center"/>
          </w:tcPr>
          <w:p>
            <w:pPr>
              <w:keepLines/>
              <w:widowControl/>
              <w:kinsoku/>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2.田间试验样品检测</w:t>
            </w:r>
          </w:p>
        </w:tc>
        <w:tc>
          <w:tcPr>
            <w:tcW w:w="619"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660"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660"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551"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332"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450" w:type="pct"/>
            <w:vMerge w:val="continue"/>
            <w:noWrap w:val="0"/>
            <w:vAlign w:val="center"/>
          </w:tcPr>
          <w:p>
            <w:pPr>
              <w:keepLines/>
              <w:widowControl/>
              <w:kinsoku w:val="0"/>
              <w:wordWrap/>
              <w:overflowPunct/>
              <w:adjustRightInd w:val="0"/>
              <w:snapToGrid w:val="0"/>
              <w:spacing w:beforeLines="0" w:afterLines="0" w:line="240" w:lineRule="auto"/>
              <w:jc w:val="center"/>
              <w:rPr>
                <w:rFonts w:hint="eastAsia" w:ascii="仿宋_GB2312" w:hAnsi="仿宋_GB2312" w:eastAsia="仿宋_GB2312" w:cs="仿宋_GB2312"/>
                <w:i w:val="0"/>
                <w:color w:val="auto"/>
                <w:sz w:val="24"/>
                <w:szCs w:val="24"/>
                <w:u w:val="none"/>
              </w:rPr>
            </w:pPr>
          </w:p>
        </w:tc>
        <w:tc>
          <w:tcPr>
            <w:tcW w:w="446" w:type="pct"/>
            <w:vMerge w:val="continue"/>
            <w:noWrap w:val="0"/>
            <w:vAlign w:val="center"/>
          </w:tcPr>
          <w:p>
            <w:pPr>
              <w:keepNext w:val="0"/>
              <w:keepLines/>
              <w:widowControl/>
              <w:suppressLineNumbers w:val="0"/>
              <w:kinsoku w:val="0"/>
              <w:wordWrap/>
              <w:overflowPunct/>
              <w:adjustRightInd w:val="0"/>
              <w:snapToGrid w:val="0"/>
              <w:spacing w:beforeLines="0" w:afterLines="0" w:line="240" w:lineRule="auto"/>
              <w:jc w:val="center"/>
              <w:textAlignment w:val="center"/>
              <w:rPr>
                <w:rFonts w:hint="eastAsia" w:ascii="仿宋_GB2312" w:hAnsi="仿宋_GB2312" w:eastAsia="仿宋_GB2312" w:cs="仿宋_GB2312"/>
                <w:i w:val="0"/>
                <w:color w:val="auto"/>
                <w:sz w:val="24"/>
                <w:szCs w:val="24"/>
                <w:u w:val="none"/>
                <w:lang w:val="en-US" w:eastAsia="zh-CN"/>
              </w:rPr>
            </w:pPr>
          </w:p>
        </w:tc>
        <w:tc>
          <w:tcPr>
            <w:tcW w:w="475" w:type="pct"/>
            <w:vMerge w:val="continue"/>
            <w:noWrap w:val="0"/>
            <w:vAlign w:val="center"/>
          </w:tcPr>
          <w:p>
            <w:pPr>
              <w:keepNext w:val="0"/>
              <w:keepLines/>
              <w:widowControl/>
              <w:suppressLineNumbers w:val="0"/>
              <w:kinsoku w:val="0"/>
              <w:wordWrap/>
              <w:overflowPunct/>
              <w:adjustRightInd w:val="0"/>
              <w:snapToGrid w:val="0"/>
              <w:spacing w:beforeLines="0" w:afterLines="0" w:line="240" w:lineRule="auto"/>
              <w:jc w:val="left"/>
              <w:textAlignment w:val="center"/>
              <w:rPr>
                <w:rFonts w:hint="default" w:ascii="仿宋_GB2312" w:hAnsi="仿宋_GB2312" w:eastAsia="仿宋_GB2312" w:cs="仿宋_GB2312"/>
                <w:i w:val="0"/>
                <w:color w:val="auto"/>
                <w:sz w:val="24"/>
                <w:szCs w:val="24"/>
                <w:u w:val="none"/>
                <w:lang w:val="en-US" w:eastAsia="zh-CN"/>
              </w:rPr>
            </w:pPr>
          </w:p>
        </w:tc>
        <w:tc>
          <w:tcPr>
            <w:tcW w:w="802" w:type="pct"/>
            <w:noWrap w:val="0"/>
            <w:vAlign w:val="center"/>
          </w:tcPr>
          <w:p>
            <w:pPr>
              <w:keepLines/>
              <w:widowControl/>
              <w:kinsoku/>
              <w:wordWrap/>
              <w:overflowPunct/>
              <w:adjustRightInd w:val="0"/>
              <w:snapToGrid w:val="0"/>
              <w:spacing w:beforeLines="0" w:afterLines="0" w:line="240" w:lineRule="auto"/>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3.化肥减量增效“三新”集成推进县</w:t>
            </w:r>
          </w:p>
        </w:tc>
        <w:tc>
          <w:tcPr>
            <w:tcW w:w="619"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660"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660"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551"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332"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r>
    </w:tbl>
    <w:p>
      <w:pPr>
        <w:keepLines/>
        <w:widowControl/>
        <w:kinsoku w:val="0"/>
        <w:wordWrap/>
        <w:overflowPunct/>
        <w:adjustRightInd w:val="0"/>
        <w:snapToGrid w:val="0"/>
        <w:spacing w:line="590" w:lineRule="exact"/>
        <w:ind w:right="-36" w:rightChars="0"/>
        <w:rPr>
          <w:rFonts w:hint="eastAsia" w:ascii="仿宋" w:hAnsi="仿宋" w:eastAsia="仿宋" w:cs="仿宋"/>
          <w:snapToGrid w:val="0"/>
          <w:kern w:val="0"/>
        </w:rPr>
      </w:pPr>
    </w:p>
    <w:p/>
    <w:sectPr>
      <w:footerReference r:id="rId10" w:type="first"/>
      <w:footerReference r:id="rId9" w:type="default"/>
      <w:pgSz w:w="16838" w:h="11906" w:orient="landscape"/>
      <w:pgMar w:top="1587" w:right="1701" w:bottom="1587" w:left="1701" w:header="851" w:footer="1417" w:gutter="0"/>
      <w:pgNumType w:fmt="decimal" w:start="1"/>
      <w:cols w:space="720" w:num="1"/>
      <w:titlePg/>
      <w:rtlGutter w:val="0"/>
      <w:docGrid w:type="linesAndChars" w:linePitch="607" w:charSpace="-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DBDD3"/>
    <w:multiLevelType w:val="singleLevel"/>
    <w:tmpl w:val="383DBD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00000000"/>
    <w:rsid w:val="33C52322"/>
    <w:rsid w:val="344D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32"/>
      <w:lang w:val="en-US" w:eastAsia="zh-CN" w:bidi="ar-SA"/>
    </w:rPr>
  </w:style>
  <w:style w:type="paragraph" w:styleId="3">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4">
    <w:name w:val="heading 2"/>
    <w:basedOn w:val="1"/>
    <w:next w:val="1"/>
    <w:autoRedefine/>
    <w:unhideWhenUsed/>
    <w:qFormat/>
    <w:uiPriority w:val="0"/>
    <w:pPr>
      <w:ind w:firstLine="0" w:firstLineChars="0"/>
      <w:outlineLvl w:val="1"/>
    </w:pPr>
    <w:rPr>
      <w:rFonts w:ascii="楷体" w:hAnsi="楷体" w:cs="楷体"/>
      <w:b/>
      <w:bCs/>
      <w:sz w:val="30"/>
      <w:szCs w:val="30"/>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2"/>
    <w:basedOn w:val="1"/>
    <w:qFormat/>
    <w:uiPriority w:val="0"/>
    <w:pPr>
      <w:spacing w:after="120" w:line="480" w:lineRule="auto"/>
      <w:ind w:left="420" w:leftChars="200"/>
    </w:pPr>
    <w:rPr>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0">
    <w:name w:val="Strong"/>
    <w:autoRedefine/>
    <w:qFormat/>
    <w:uiPriority w:val="0"/>
    <w:rPr>
      <w:b/>
      <w:bCs/>
    </w:rPr>
  </w:style>
  <w:style w:type="character" w:styleId="11">
    <w:name w:val="page number"/>
    <w:basedOn w:val="9"/>
    <w:uiPriority w:val="0"/>
  </w:style>
  <w:style w:type="character" w:customStyle="1" w:styleId="12">
    <w:name w:val="font01"/>
    <w:basedOn w:val="9"/>
    <w:qFormat/>
    <w:uiPriority w:val="0"/>
    <w:rPr>
      <w:rFonts w:ascii="Arial" w:hAnsi="Arial" w:cs="Arial"/>
      <w:b/>
      <w:color w:val="000000"/>
      <w:sz w:val="22"/>
      <w:szCs w:val="22"/>
      <w:u w:val="none"/>
    </w:rPr>
  </w:style>
  <w:style w:type="character" w:customStyle="1" w:styleId="13">
    <w:name w:val="font11"/>
    <w:basedOn w:val="9"/>
    <w:qFormat/>
    <w:uiPriority w:val="0"/>
    <w:rPr>
      <w:rFonts w:hint="eastAsia" w:ascii="宋体" w:hAnsi="宋体" w:eastAsia="宋体" w:cs="宋体"/>
      <w:color w:val="000000"/>
      <w:sz w:val="21"/>
      <w:szCs w:val="21"/>
      <w:u w:val="none"/>
    </w:rPr>
  </w:style>
  <w:style w:type="character" w:customStyle="1" w:styleId="14">
    <w:name w:val="font4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2024-05-06T02:36:00Z</dcterms:created>
  <dc:creator>wuyin</dc:creator>
  <cp:lastModifiedBy>lzh</cp:lastModifiedBy>
  <dcterms:modified xsi:type="dcterms:W3CDTF">2024-05-08T01:39:26Z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47FF1323F9A04A9B876CE7114D06052E_12</vt:lpwstr>
  </property>
</Properties>
</file>