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B77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2024年粤港澳大湾区高价值专利培育布局</w:t>
      </w:r>
    </w:p>
    <w:p w14:paraId="034E4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大赛工作方案</w:t>
      </w:r>
    </w:p>
    <w:p w14:paraId="4A576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48730A6F">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一、大赛背景</w:t>
      </w:r>
    </w:p>
    <w:p w14:paraId="30FB6AB1">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为认真贯彻习近平总书记关于知识产权重要讲话和重要指示精神，落实党中央、国务院决策部署，推动粤港澳大湾区高质量发展和国际科技创新中心建设，</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年至今，每年广东省市场监督管理局（知识产权局）会同香港特别行政区政府知识产权署、澳门特别行政区政府经济及科技发展局，以及省内相关地级以上市政府，联合举办</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粤港澳大湾区高价值专利培育布局大赛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（以下简称</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）。第一届（</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年）、第二届（</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年）、第三届（</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年）、第四届（</w:t>
      </w:r>
      <w:r>
        <w:rPr>
          <w:rFonts w:hint="default" w:ascii="Times New Roman" w:hAnsi="Times New Roman" w:eastAsia="仿宋_GB2312" w:cs="Times New Roman"/>
          <w:kern w:val="0"/>
          <w:sz w:val="32"/>
          <w:szCs w:val="32"/>
          <w:lang w:val="en-US" w:eastAsia="zh-CN" w:bidi="ar"/>
        </w:rPr>
        <w:t>2022</w:t>
      </w:r>
      <w:r>
        <w:rPr>
          <w:rFonts w:hint="eastAsia" w:ascii="仿宋_GB2312" w:hAnsi="Times New Roman" w:eastAsia="仿宋_GB2312" w:cs="仿宋_GB2312"/>
          <w:kern w:val="0"/>
          <w:sz w:val="32"/>
          <w:szCs w:val="32"/>
          <w:lang w:val="en-US" w:eastAsia="zh-CN" w:bidi="ar"/>
        </w:rPr>
        <w:t>年）、第五届（</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聚焦新一代信息技术、高端装备制造、绿色低碳、生物医药、数字经济等战略性产业领域，先后在珠海市、珠海和东莞两市、佛山市（两届）、广州市举办。五届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得到大湾区和社会各界的广泛关注，先后有来自大湾区和全国各地</w:t>
      </w:r>
      <w:r>
        <w:rPr>
          <w:rFonts w:hint="default" w:ascii="Times New Roman" w:hAnsi="Times New Roman" w:eastAsia="仿宋_GB2312" w:cs="Times New Roman"/>
          <w:kern w:val="0"/>
          <w:sz w:val="32"/>
          <w:szCs w:val="32"/>
          <w:lang w:val="en-US" w:eastAsia="zh-CN" w:bidi="ar"/>
        </w:rPr>
        <w:t>3508</w:t>
      </w:r>
      <w:r>
        <w:rPr>
          <w:rFonts w:hint="eastAsia" w:ascii="仿宋_GB2312" w:hAnsi="Times New Roman" w:eastAsia="仿宋_GB2312" w:cs="仿宋_GB2312"/>
          <w:kern w:val="0"/>
          <w:sz w:val="32"/>
          <w:szCs w:val="32"/>
          <w:lang w:val="en-US" w:eastAsia="zh-CN" w:bidi="ar"/>
        </w:rPr>
        <w:t>个拥有高价值专利组合的科技创新项目参加比赛，评出百强、五十强等一批获奖项目，及金奖、银奖、优秀奖等</w:t>
      </w:r>
      <w:r>
        <w:rPr>
          <w:rFonts w:hint="default" w:ascii="Times New Roman" w:hAnsi="Times New Roman" w:eastAsia="仿宋_GB2312" w:cs="Times New Roman"/>
          <w:kern w:val="0"/>
          <w:sz w:val="32"/>
          <w:szCs w:val="32"/>
          <w:lang w:val="en-US" w:eastAsia="zh-CN" w:bidi="ar"/>
        </w:rPr>
        <w:t>201</w:t>
      </w:r>
      <w:r>
        <w:rPr>
          <w:rFonts w:hint="eastAsia" w:ascii="仿宋_GB2312" w:hAnsi="Times New Roman" w:eastAsia="仿宋_GB2312" w:cs="仿宋_GB2312"/>
          <w:kern w:val="0"/>
          <w:sz w:val="32"/>
          <w:szCs w:val="32"/>
          <w:lang w:val="en-US" w:eastAsia="zh-CN" w:bidi="ar"/>
        </w:rPr>
        <w:t>项，参赛项目总数居全国同类大赛之首。</w:t>
      </w:r>
    </w:p>
    <w:p w14:paraId="1E6FB3A9">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经过五年的精心打造和创新发展，</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在粤港澳大湾区树立了高价值专利培育布局的标杆，探索和总结了高价值专利培育布局的经验和路径，展现高价值专利培育布局成果，出台了《高价值专利培育布局工作指南》省级地方标准，推动一批高价值专利落地转移转化。</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已经成为粤港澳大湾区知识产权合作发展的重大品牌活动，成为粤港澳三地携手强化知识产权支撑创新发展作用、推动粤港澳大湾区高质量发展的重要举措。</w:t>
      </w:r>
      <w:r>
        <w:rPr>
          <w:rFonts w:hint="default" w:ascii="Times New Roman" w:hAnsi="Times New Roman" w:eastAsia="仿宋_GB2312" w:cs="Times New Roman"/>
          <w:kern w:val="0"/>
          <w:sz w:val="32"/>
          <w:szCs w:val="32"/>
          <w:lang w:val="en-US" w:eastAsia="zh-CN" w:bidi="ar"/>
        </w:rPr>
        <w:t>2022</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成功入选首批知识产权强国建设典型案例。</w:t>
      </w:r>
    </w:p>
    <w:p w14:paraId="115CFAAD">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年第六届“湾高赛”将在江门市举办，主题为</w:t>
      </w:r>
      <w:r>
        <w:rPr>
          <w:rFonts w:hint="eastAsia" w:ascii="仿宋_GB2312" w:hAnsi="Times New Roman" w:eastAsia="仿宋_GB2312" w:cs="仿宋_GB2312"/>
          <w:b/>
          <w:kern w:val="0"/>
          <w:sz w:val="32"/>
          <w:szCs w:val="32"/>
          <w:lang w:val="en-US" w:eastAsia="zh-CN" w:bidi="ar"/>
        </w:rPr>
        <w:t>“</w:t>
      </w:r>
      <w:r>
        <w:rPr>
          <w:rFonts w:hint="eastAsia" w:ascii="仿宋_GB2312" w:hAnsi="Times New Roman" w:eastAsia="仿宋_GB2312" w:cs="仿宋_GB2312"/>
          <w:b/>
          <w:kern w:val="2"/>
          <w:sz w:val="32"/>
          <w:szCs w:val="32"/>
          <w:lang w:val="en-US" w:eastAsia="zh-CN" w:bidi="ar"/>
        </w:rPr>
        <w:t>贯彻新发展理念，树立高价值专利标杆</w:t>
      </w:r>
      <w:r>
        <w:rPr>
          <w:rFonts w:hint="eastAsia" w:ascii="仿宋_GB2312" w:hAnsi="Times New Roman" w:eastAsia="仿宋_GB2312" w:cs="仿宋_GB2312"/>
          <w:b/>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。第六届“湾高赛”将进一步贯彻落实《知识产权强国建设纲要（</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2035</w:t>
      </w:r>
      <w:r>
        <w:rPr>
          <w:rFonts w:hint="eastAsia" w:ascii="仿宋_GB2312" w:hAnsi="Times New Roman" w:eastAsia="仿宋_GB2312" w:cs="仿宋_GB2312"/>
          <w:kern w:val="0"/>
          <w:sz w:val="32"/>
          <w:szCs w:val="32"/>
          <w:lang w:val="en-US" w:eastAsia="zh-CN" w:bidi="ar"/>
        </w:rPr>
        <w:t>年）》《粤港澳大湾区发展规划纲要》的战略部署，围绕粤港澳大湾区高质量发展、国际科技创新中心和知识产权国际合作高地建设需要，充分发挥江门作为中国侨都、粤港澳大湾区重要节点城市作用，推进侨资侨智的创新性融合与转化，深化粤港澳全面合作、聚焦创新驱动发展，引导创新主体在战略性产业领域创造一批创新水平高、市场竞争力强的高价值专利，吸引</w:t>
      </w:r>
      <w:r>
        <w:rPr>
          <w:rFonts w:hint="eastAsia" w:ascii="仿宋_GB2312" w:hAnsi="Times New Roman" w:eastAsia="仿宋_GB2312" w:cs="仿宋_GB2312"/>
          <w:kern w:val="2"/>
          <w:sz w:val="32"/>
          <w:szCs w:val="32"/>
          <w:lang w:val="en-US" w:eastAsia="zh-CN" w:bidi="ar"/>
        </w:rPr>
        <w:t>一批高质量高端科研创新团队，</w:t>
      </w:r>
      <w:r>
        <w:rPr>
          <w:rFonts w:hint="eastAsia" w:ascii="仿宋_GB2312" w:hAnsi="Times New Roman" w:eastAsia="仿宋_GB2312" w:cs="仿宋_GB2312"/>
          <w:kern w:val="0"/>
          <w:sz w:val="32"/>
          <w:szCs w:val="32"/>
          <w:lang w:val="en-US" w:eastAsia="zh-CN" w:bidi="ar"/>
        </w:rPr>
        <w:t>促进一批高价值专利转化运用及产业化，</w:t>
      </w:r>
      <w:r>
        <w:rPr>
          <w:rFonts w:hint="eastAsia" w:ascii="仿宋_GB2312" w:hAnsi="Times New Roman" w:eastAsia="仿宋_GB2312" w:cs="仿宋_GB2312"/>
          <w:kern w:val="2"/>
          <w:sz w:val="32"/>
          <w:szCs w:val="32"/>
          <w:lang w:val="en-US" w:eastAsia="zh-CN" w:bidi="ar"/>
        </w:rPr>
        <w:t>树立一批制造业当家典型案例</w:t>
      </w:r>
      <w:r>
        <w:rPr>
          <w:rFonts w:hint="eastAsia" w:ascii="仿宋_GB2312" w:hAnsi="Times New Roman" w:eastAsia="仿宋_GB2312" w:cs="仿宋_GB2312"/>
          <w:kern w:val="0"/>
          <w:sz w:val="32"/>
          <w:szCs w:val="32"/>
          <w:lang w:val="en-US" w:eastAsia="zh-CN" w:bidi="ar"/>
        </w:rPr>
        <w:t>，探索一套可复制可推广的高价值专利培育转化路径。</w:t>
      </w:r>
    </w:p>
    <w:p w14:paraId="021B79BB">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二、组织单位</w:t>
      </w:r>
    </w:p>
    <w:p w14:paraId="72C132A0">
      <w:pPr>
        <w:pStyle w:val="4"/>
        <w:keepNext w:val="0"/>
        <w:keepLines w:val="0"/>
        <w:widowControl w:val="0"/>
        <w:suppressLineNumbers w:val="0"/>
        <w:spacing w:before="0" w:beforeAutospacing="0" w:after="0" w:afterAutospacing="0" w:line="590" w:lineRule="exact"/>
        <w:ind w:left="0" w:right="0" w:firstLine="643"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主办单位：</w:t>
      </w:r>
      <w:r>
        <w:rPr>
          <w:rFonts w:hint="eastAsia" w:ascii="仿宋_GB2312" w:hAnsi="Times New Roman" w:eastAsia="仿宋_GB2312" w:cs="仿宋_GB2312"/>
          <w:kern w:val="2"/>
          <w:sz w:val="32"/>
          <w:szCs w:val="32"/>
          <w:lang w:val="en-US" w:eastAsia="zh-CN" w:bidi="ar"/>
        </w:rPr>
        <w:t>广东省</w:t>
      </w:r>
      <w:r>
        <w:rPr>
          <w:rFonts w:hint="eastAsia" w:ascii="仿宋_GB2312" w:hAnsi="Times New Roman" w:eastAsia="仿宋_GB2312" w:cs="仿宋_GB2312"/>
          <w:kern w:val="0"/>
          <w:sz w:val="32"/>
          <w:szCs w:val="32"/>
          <w:lang w:val="en-US" w:eastAsia="zh-CN" w:bidi="ar"/>
        </w:rPr>
        <w:t>市场监督管理局（</w:t>
      </w:r>
      <w:r>
        <w:rPr>
          <w:rFonts w:hint="eastAsia" w:ascii="仿宋_GB2312" w:hAnsi="Times New Roman" w:eastAsia="仿宋_GB2312" w:cs="仿宋_GB2312"/>
          <w:kern w:val="2"/>
          <w:sz w:val="32"/>
          <w:szCs w:val="32"/>
          <w:lang w:val="en-US" w:eastAsia="zh-CN" w:bidi="ar"/>
        </w:rPr>
        <w:t>知识产权局）</w:t>
      </w:r>
      <w:r>
        <w:rPr>
          <w:rFonts w:hint="eastAsia" w:ascii="仿宋_GB2312" w:hAnsi="Times New Roman" w:eastAsia="仿宋_GB2312" w:cs="仿宋_GB2312"/>
          <w:kern w:val="0"/>
          <w:sz w:val="32"/>
          <w:szCs w:val="32"/>
          <w:lang w:val="en-US" w:eastAsia="zh-CN" w:bidi="ar"/>
        </w:rPr>
        <w:t>、香港特别行政区政府知识</w:t>
      </w:r>
      <w:r>
        <w:rPr>
          <w:rFonts w:hint="eastAsia" w:ascii="仿宋_GB2312" w:hAnsi="Times New Roman" w:eastAsia="仿宋_GB2312" w:cs="仿宋_GB2312"/>
          <w:kern w:val="2"/>
          <w:sz w:val="32"/>
          <w:szCs w:val="32"/>
          <w:lang w:val="en-US" w:eastAsia="zh-CN" w:bidi="ar"/>
        </w:rPr>
        <w:t>产权署、澳门特别行政区政府经济及科技发展局</w:t>
      </w:r>
      <w:r>
        <w:rPr>
          <w:rFonts w:hint="eastAsia" w:ascii="Times New Roman" w:hAnsi="Times New Roman" w:eastAsia="仿宋_GB2312" w:cs="Times New Roman"/>
          <w:kern w:val="2"/>
          <w:sz w:val="32"/>
          <w:szCs w:val="32"/>
          <w:lang w:val="en-US" w:eastAsia="zh-CN" w:bidi="ar"/>
        </w:rPr>
        <w:t>、江门</w:t>
      </w:r>
      <w:r>
        <w:rPr>
          <w:rFonts w:hint="eastAsia" w:ascii="仿宋_GB2312" w:hAnsi="Times New Roman" w:eastAsia="仿宋_GB2312" w:cs="仿宋_GB2312"/>
          <w:kern w:val="2"/>
          <w:sz w:val="32"/>
          <w:szCs w:val="32"/>
          <w:lang w:val="en-US" w:eastAsia="zh-CN" w:bidi="ar"/>
        </w:rPr>
        <w:t>市人民政府。</w:t>
      </w:r>
    </w:p>
    <w:p w14:paraId="2B95391E">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承办单位：</w:t>
      </w:r>
      <w:r>
        <w:rPr>
          <w:rFonts w:hint="eastAsia" w:ascii="仿宋_GB2312" w:hAnsi="Times New Roman" w:eastAsia="仿宋_GB2312" w:cs="仿宋_GB2312"/>
          <w:kern w:val="2"/>
          <w:sz w:val="32"/>
          <w:szCs w:val="32"/>
          <w:lang w:val="en-US" w:eastAsia="zh-CN" w:bidi="ar"/>
        </w:rPr>
        <w:t>江门市</w:t>
      </w:r>
      <w:r>
        <w:rPr>
          <w:rFonts w:hint="eastAsia" w:ascii="仿宋_GB2312" w:hAnsi="Times New Roman" w:eastAsia="仿宋_GB2312" w:cs="仿宋_GB2312"/>
          <w:kern w:val="0"/>
          <w:sz w:val="32"/>
          <w:szCs w:val="32"/>
          <w:lang w:val="en-US" w:eastAsia="zh-CN" w:bidi="ar"/>
        </w:rPr>
        <w:t>市场监督管理局（知识产权局）</w:t>
      </w:r>
      <w:r>
        <w:rPr>
          <w:rFonts w:hint="eastAsia" w:ascii="仿宋_GB2312" w:hAnsi="Times New Roman" w:eastAsia="仿宋_GB2312" w:cs="仿宋_GB2312"/>
          <w:kern w:val="2"/>
          <w:sz w:val="32"/>
          <w:szCs w:val="32"/>
          <w:lang w:val="en-US" w:eastAsia="zh-CN" w:bidi="ar"/>
        </w:rPr>
        <w:t>、江门市蓬江区人民政府、江门市江海区人民政府、江门市新会区人民政府、</w:t>
      </w:r>
      <w:r>
        <w:rPr>
          <w:rFonts w:hint="eastAsia" w:ascii="Times New Roman" w:hAnsi="Times New Roman" w:eastAsia="仿宋_GB2312" w:cs="Times New Roman"/>
          <w:color w:val="000000"/>
          <w:kern w:val="2"/>
          <w:sz w:val="32"/>
          <w:szCs w:val="32"/>
          <w:lang w:val="en-US" w:eastAsia="zh-CN" w:bidi="ar"/>
        </w:rPr>
        <w:t>横琴国际知识产权交易中心有限公司</w:t>
      </w:r>
      <w:r>
        <w:rPr>
          <w:rFonts w:hint="eastAsia" w:ascii="仿宋_GB2312" w:hAnsi="Times New Roman" w:eastAsia="仿宋_GB2312" w:cs="仿宋_GB2312"/>
          <w:kern w:val="2"/>
          <w:sz w:val="32"/>
          <w:szCs w:val="32"/>
          <w:lang w:val="en-US" w:eastAsia="zh-CN" w:bidi="ar"/>
        </w:rPr>
        <w:t>。</w:t>
      </w:r>
    </w:p>
    <w:p w14:paraId="7FB01698">
      <w:pPr>
        <w:pStyle w:val="3"/>
        <w:widowControl/>
        <w:spacing w:line="590" w:lineRule="exact"/>
        <w:ind w:left="0" w:firstLine="640"/>
        <w:jc w:val="both"/>
        <w:rPr>
          <w:rFonts w:hint="default" w:ascii="Times New Roman" w:hAnsi="Times New Roman" w:eastAsia="仿宋_GB2312" w:cs="宋体"/>
          <w:kern w:val="0"/>
          <w:sz w:val="32"/>
          <w:szCs w:val="32"/>
        </w:rPr>
      </w:pPr>
      <w:r>
        <w:rPr>
          <w:rFonts w:hint="eastAsia" w:ascii="仿宋_GB2312" w:hAnsi="Times New Roman" w:eastAsia="仿宋_GB2312" w:cs="仿宋_GB2312"/>
          <w:b/>
          <w:kern w:val="0"/>
          <w:sz w:val="32"/>
          <w:szCs w:val="32"/>
          <w:lang w:val="en-US" w:eastAsia="zh-CN" w:bidi="ar"/>
        </w:rPr>
        <w:t>协办单位：</w:t>
      </w:r>
      <w:r>
        <w:rPr>
          <w:rFonts w:hint="eastAsia" w:ascii="仿宋_GB2312" w:hAnsi="Times New Roman" w:eastAsia="仿宋_GB2312" w:cs="仿宋_GB2312"/>
          <w:kern w:val="0"/>
          <w:sz w:val="32"/>
          <w:szCs w:val="32"/>
          <w:lang w:val="en-US" w:eastAsia="zh-CN" w:bidi="ar"/>
        </w:rPr>
        <w:t>广州市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深圳市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、珠海市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、佛山市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、惠州市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、东莞市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、中山市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、肇庆市</w:t>
      </w:r>
      <w:r>
        <w:rPr>
          <w:rFonts w:hint="eastAsia" w:ascii="Times New Roman" w:hAnsi="Times New Roman" w:eastAsia="仿宋_GB2312" w:cs="宋体"/>
          <w:kern w:val="0"/>
          <w:sz w:val="32"/>
          <w:szCs w:val="32"/>
          <w:lang w:val="en-US" w:eastAsia="zh-CN" w:bidi="ar"/>
        </w:rPr>
        <w:t>市场监督管理局</w:t>
      </w:r>
      <w:r>
        <w:rPr>
          <w:rFonts w:hint="eastAsia" w:ascii="仿宋_GB2312" w:hAnsi="Times New Roman" w:eastAsia="仿宋_GB2312" w:cs="仿宋_GB2312"/>
          <w:kern w:val="0"/>
          <w:sz w:val="32"/>
          <w:szCs w:val="32"/>
          <w:lang w:val="en-US" w:eastAsia="zh-CN" w:bidi="ar"/>
        </w:rPr>
        <w:t>（知识产权局）</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宋体"/>
          <w:kern w:val="2"/>
          <w:sz w:val="32"/>
          <w:szCs w:val="32"/>
          <w:lang w:val="en-US" w:eastAsia="zh-CN" w:bidi="ar"/>
        </w:rPr>
        <w:t>江门</w:t>
      </w:r>
      <w:r>
        <w:rPr>
          <w:rFonts w:hint="eastAsia" w:ascii="仿宋_GB2312" w:hAnsi="Times New Roman" w:eastAsia="仿宋_GB2312" w:cs="仿宋_GB2312"/>
          <w:kern w:val="2"/>
          <w:sz w:val="32"/>
          <w:szCs w:val="32"/>
          <w:lang w:val="en-US" w:eastAsia="zh-CN" w:bidi="ar"/>
        </w:rPr>
        <w:t>市各市直相关部门、</w:t>
      </w:r>
      <w:r>
        <w:rPr>
          <w:rFonts w:hint="eastAsia" w:ascii="Times New Roman" w:hAnsi="Times New Roman" w:eastAsia="仿宋_GB2312" w:cs="宋体"/>
          <w:kern w:val="2"/>
          <w:sz w:val="32"/>
          <w:szCs w:val="32"/>
          <w:lang w:val="en-US" w:eastAsia="zh-CN" w:bidi="ar"/>
        </w:rPr>
        <w:t>台山市、开平市、鹤山市、恩平市</w:t>
      </w:r>
      <w:r>
        <w:rPr>
          <w:rFonts w:hint="eastAsia" w:ascii="仿宋_GB2312" w:hAnsi="Times New Roman" w:eastAsia="仿宋_GB2312" w:cs="仿宋_GB2312"/>
          <w:kern w:val="2"/>
          <w:sz w:val="32"/>
          <w:szCs w:val="32"/>
          <w:lang w:val="en-US" w:eastAsia="zh-CN" w:bidi="ar"/>
        </w:rPr>
        <w:t>人民政府</w:t>
      </w:r>
      <w:r>
        <w:rPr>
          <w:rFonts w:hint="eastAsia" w:ascii="仿宋_GB2312" w:hAnsi="Times New Roman" w:eastAsia="仿宋_GB2312" w:cs="仿宋_GB2312"/>
          <w:kern w:val="0"/>
          <w:sz w:val="32"/>
          <w:szCs w:val="32"/>
          <w:lang w:val="en-US" w:eastAsia="zh-CN" w:bidi="ar"/>
        </w:rPr>
        <w:t>。</w:t>
      </w:r>
    </w:p>
    <w:p w14:paraId="74F311DD">
      <w:pPr>
        <w:pStyle w:val="4"/>
        <w:keepNext w:val="0"/>
        <w:keepLines w:val="0"/>
        <w:widowControl w:val="0"/>
        <w:suppressLineNumbers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kern w:val="0"/>
          <w:sz w:val="32"/>
          <w:szCs w:val="32"/>
          <w:lang w:val="en-US" w:eastAsia="zh-CN" w:bidi="ar"/>
        </w:rPr>
        <w:t>支持单位：</w:t>
      </w:r>
      <w:r>
        <w:rPr>
          <w:rFonts w:hint="eastAsia" w:ascii="仿宋_GB2312" w:hAnsi="Times New Roman" w:eastAsia="仿宋_GB2312" w:cs="仿宋_GB2312"/>
          <w:kern w:val="2"/>
          <w:sz w:val="32"/>
          <w:szCs w:val="32"/>
          <w:lang w:val="en-US" w:eastAsia="zh-CN" w:bidi="ar"/>
        </w:rPr>
        <w:t>世界知识产权组织中国办事处、国家知识产权局专利局专利审查协作广东中心、广东省知识产权保护中心。</w:t>
      </w:r>
    </w:p>
    <w:p w14:paraId="6F139E11">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三、大赛时间安排</w:t>
      </w:r>
    </w:p>
    <w:p w14:paraId="1936BDBE">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时间：</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月</w:t>
      </w:r>
    </w:p>
    <w:p w14:paraId="38EB63EE">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各阶段时间安排：</w:t>
      </w:r>
    </w:p>
    <w:p w14:paraId="380B6198">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宣传推广阶段：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w:t>
      </w:r>
    </w:p>
    <w:p w14:paraId="41A3BBD3">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初赛阶段：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w:t>
      </w:r>
    </w:p>
    <w:p w14:paraId="1387894D">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w:t>
      </w:r>
    </w:p>
    <w:p w14:paraId="215FCC6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项目对接：</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w:t>
      </w:r>
    </w:p>
    <w:p w14:paraId="446D6442">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决赛阶段：</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月至</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月</w:t>
      </w:r>
    </w:p>
    <w:p w14:paraId="0D6E64CC">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四、参赛要求</w:t>
      </w:r>
    </w:p>
    <w:p w14:paraId="28A212C8">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rPr>
      </w:pPr>
      <w:r>
        <w:rPr>
          <w:rFonts w:hint="eastAsia" w:ascii="楷体_GB2312" w:hAnsi="Times New Roman" w:eastAsia="楷体_GB2312" w:cs="楷体_GB2312"/>
          <w:kern w:val="0"/>
          <w:sz w:val="32"/>
          <w:szCs w:val="32"/>
          <w:lang w:val="en-US" w:eastAsia="zh-CN" w:bidi="ar"/>
        </w:rPr>
        <w:t>（一）参赛项目要求</w:t>
      </w:r>
    </w:p>
    <w:p w14:paraId="2336C2F1">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本届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以技术领先、市场潜力大、落地转化</w:t>
      </w:r>
      <w:r>
        <w:rPr>
          <w:rFonts w:hint="eastAsia" w:ascii="Times New Roman" w:hAnsi="Times New Roman" w:eastAsia="仿宋_GB2312" w:cs="Times New Roman"/>
          <w:kern w:val="0"/>
          <w:sz w:val="32"/>
          <w:szCs w:val="32"/>
          <w:lang w:val="en-US" w:eastAsia="zh-CN" w:bidi="ar"/>
        </w:rPr>
        <w:t>前景好</w:t>
      </w:r>
      <w:r>
        <w:rPr>
          <w:rFonts w:hint="eastAsia" w:ascii="仿宋_GB2312" w:hAnsi="Times New Roman" w:eastAsia="仿宋_GB2312" w:cs="仿宋_GB2312"/>
          <w:kern w:val="0"/>
          <w:sz w:val="32"/>
          <w:szCs w:val="32"/>
          <w:lang w:val="en-US" w:eastAsia="zh-CN" w:bidi="ar"/>
        </w:rPr>
        <w:t>的战略性产业集群高价值</w:t>
      </w:r>
      <w:r>
        <w:rPr>
          <w:rFonts w:hint="eastAsia" w:ascii="Times New Roman" w:hAnsi="Times New Roman" w:eastAsia="仿宋_GB2312" w:cs="Times New Roman"/>
          <w:kern w:val="0"/>
          <w:sz w:val="32"/>
          <w:szCs w:val="32"/>
          <w:lang w:val="en-US" w:eastAsia="zh-CN" w:bidi="ar"/>
        </w:rPr>
        <w:t>专利</w:t>
      </w:r>
      <w:r>
        <w:rPr>
          <w:rFonts w:hint="eastAsia" w:ascii="仿宋_GB2312" w:hAnsi="Times New Roman" w:eastAsia="仿宋_GB2312" w:cs="仿宋_GB2312"/>
          <w:kern w:val="0"/>
          <w:sz w:val="32"/>
          <w:szCs w:val="32"/>
          <w:lang w:val="en-US" w:eastAsia="zh-CN" w:bidi="ar"/>
        </w:rPr>
        <w:t>为参赛对象。</w:t>
      </w:r>
    </w:p>
    <w:p w14:paraId="70B198E0">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本届大赛所有参赛项目分初创组、成长组分别进行比赛。</w:t>
      </w:r>
    </w:p>
    <w:p w14:paraId="63693DB2">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bCs/>
          <w:color w:val="0000FF"/>
          <w:kern w:val="0"/>
          <w:sz w:val="32"/>
          <w:szCs w:val="32"/>
          <w:lang w:val="en-US" w:eastAsia="zh-CN" w:bidi="ar"/>
        </w:rPr>
        <w:t>高校院所参赛项目列入初创组。</w:t>
      </w:r>
      <w:r>
        <w:rPr>
          <w:rFonts w:hint="eastAsia" w:ascii="仿宋_GB2312" w:hAnsi="Times New Roman" w:eastAsia="仿宋_GB2312" w:cs="仿宋_GB2312"/>
          <w:kern w:val="0"/>
          <w:sz w:val="32"/>
          <w:szCs w:val="32"/>
          <w:lang w:val="en-US" w:eastAsia="zh-CN" w:bidi="ar"/>
        </w:rPr>
        <w:t>参赛企业按</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年汇算清缴的营业收入进行分组，营业收入小于或等于</w:t>
      </w:r>
      <w:r>
        <w:rPr>
          <w:rFonts w:hint="default" w:ascii="Times New Roman" w:hAnsi="Times New Roman" w:eastAsia="仿宋_GB2312" w:cs="Times New Roman"/>
          <w:kern w:val="0"/>
          <w:sz w:val="32"/>
          <w:szCs w:val="32"/>
          <w:lang w:val="en-US" w:eastAsia="zh-CN" w:bidi="ar"/>
        </w:rPr>
        <w:t>2000</w:t>
      </w:r>
      <w:r>
        <w:rPr>
          <w:rFonts w:hint="eastAsia" w:ascii="仿宋_GB2312" w:hAnsi="Times New Roman" w:eastAsia="仿宋_GB2312" w:cs="仿宋_GB2312"/>
          <w:kern w:val="0"/>
          <w:sz w:val="32"/>
          <w:szCs w:val="32"/>
          <w:lang w:val="en-US" w:eastAsia="zh-CN" w:bidi="ar"/>
        </w:rPr>
        <w:t>万元人民币的列入初创组，营业收入大于</w:t>
      </w:r>
      <w:r>
        <w:rPr>
          <w:rFonts w:hint="default" w:ascii="Times New Roman" w:hAnsi="Times New Roman" w:eastAsia="仿宋_GB2312" w:cs="Times New Roman"/>
          <w:kern w:val="0"/>
          <w:sz w:val="32"/>
          <w:szCs w:val="32"/>
          <w:lang w:val="en-US" w:eastAsia="zh-CN" w:bidi="ar"/>
        </w:rPr>
        <w:t>2000</w:t>
      </w:r>
      <w:r>
        <w:rPr>
          <w:rFonts w:hint="eastAsia" w:ascii="仿宋_GB2312" w:hAnsi="Times New Roman" w:eastAsia="仿宋_GB2312" w:cs="仿宋_GB2312"/>
          <w:kern w:val="0"/>
          <w:sz w:val="32"/>
          <w:szCs w:val="32"/>
          <w:lang w:val="en-US" w:eastAsia="zh-CN" w:bidi="ar"/>
        </w:rPr>
        <w:t>万元人民币的列入成长组。</w:t>
      </w:r>
    </w:p>
    <w:p w14:paraId="26724C10">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若参赛主体为多个企业联合参赛或</w:t>
      </w:r>
      <w:r>
        <w:rPr>
          <w:rFonts w:hint="eastAsia" w:ascii="仿宋_GB2312" w:hAnsi="Times New Roman" w:eastAsia="仿宋_GB2312" w:cs="仿宋_GB2312"/>
          <w:b/>
          <w:bCs/>
          <w:color w:val="0000FF"/>
          <w:kern w:val="0"/>
          <w:sz w:val="32"/>
          <w:szCs w:val="32"/>
          <w:lang w:val="en-US" w:eastAsia="zh-CN" w:bidi="ar"/>
        </w:rPr>
        <w:t>高校院所与企业联合参赛</w:t>
      </w:r>
      <w:r>
        <w:rPr>
          <w:rFonts w:hint="eastAsia" w:ascii="仿宋_GB2312" w:hAnsi="Times New Roman" w:eastAsia="仿宋_GB2312" w:cs="仿宋_GB2312"/>
          <w:kern w:val="0"/>
          <w:sz w:val="32"/>
          <w:szCs w:val="32"/>
          <w:lang w:val="en-US" w:eastAsia="zh-CN" w:bidi="ar"/>
        </w:rPr>
        <w:t>，则按参赛企业的</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年汇算清缴的营业收入总和计算。</w:t>
      </w:r>
    </w:p>
    <w:p w14:paraId="0CB371DD">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bookmarkStart w:id="0" w:name="OLE_LINK1"/>
      <w:r>
        <w:rPr>
          <w:rFonts w:hint="eastAsia" w:ascii="仿宋_GB2312" w:hAnsi="Times New Roman" w:eastAsia="仿宋_GB2312" w:cs="仿宋_GB2312"/>
          <w:color w:val="0000FF"/>
          <w:kern w:val="0"/>
          <w:sz w:val="32"/>
          <w:szCs w:val="32"/>
          <w:lang w:val="en-US" w:eastAsia="zh-CN" w:bidi="ar"/>
        </w:rPr>
        <w:t>参赛项目应当是具有至少一项核心技术（含基础技术、重要技术分支）的发明专利或市场价值潜力较大的外观设计专利或重要集成电路布图设计的创新项目。</w:t>
      </w:r>
      <w:bookmarkEnd w:id="0"/>
      <w:r>
        <w:rPr>
          <w:rFonts w:hint="eastAsia" w:ascii="仿宋_GB2312" w:hAnsi="Times New Roman" w:eastAsia="仿宋_GB2312" w:cs="仿宋_GB2312"/>
          <w:kern w:val="0"/>
          <w:sz w:val="32"/>
          <w:szCs w:val="32"/>
          <w:lang w:val="en-US" w:eastAsia="zh-CN" w:bidi="ar"/>
        </w:rPr>
        <w:t>所述专利（含集成电路布图设计）应由国家知识产权局、香港特别行政区政府知识产权署或澳门特别行政区政府经济及科技发展局授权，语言限中文、英文。参赛项目拥有多件专利（含集成电路布图设计）的，应明确其中一件专利为参赛核心专利（含集成电路布图设计）。</w:t>
      </w:r>
    </w:p>
    <w:p w14:paraId="23870997">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bookmarkStart w:id="1" w:name="OLE_LINK2"/>
      <w:r>
        <w:rPr>
          <w:rFonts w:hint="eastAsia" w:ascii="仿宋_GB2312" w:hAnsi="Times New Roman" w:eastAsia="仿宋_GB2312" w:cs="仿宋_GB2312"/>
          <w:color w:val="0000FF"/>
          <w:kern w:val="0"/>
          <w:sz w:val="32"/>
          <w:szCs w:val="32"/>
          <w:lang w:val="en-US" w:eastAsia="zh-CN" w:bidi="ar"/>
        </w:rPr>
        <w:t>参赛项目的核心专利（含集成电路布图设计）应当是</w:t>
      </w:r>
      <w:r>
        <w:rPr>
          <w:rFonts w:hint="default" w:ascii="Times New Roman" w:hAnsi="Times New Roman" w:eastAsia="仿宋_GB2312" w:cs="Times New Roman"/>
          <w:color w:val="0000FF"/>
          <w:kern w:val="0"/>
          <w:sz w:val="32"/>
          <w:szCs w:val="32"/>
          <w:lang w:val="en-US" w:eastAsia="zh-CN" w:bidi="ar"/>
        </w:rPr>
        <w:t>2021</w:t>
      </w:r>
      <w:r>
        <w:rPr>
          <w:rFonts w:hint="eastAsia" w:ascii="仿宋_GB2312" w:hAnsi="Times New Roman" w:eastAsia="仿宋_GB2312" w:cs="仿宋_GB2312"/>
          <w:color w:val="0000FF"/>
          <w:kern w:val="0"/>
          <w:sz w:val="32"/>
          <w:szCs w:val="32"/>
          <w:lang w:val="en-US" w:eastAsia="zh-CN" w:bidi="ar"/>
        </w:rPr>
        <w:t>年</w:t>
      </w:r>
      <w:r>
        <w:rPr>
          <w:rFonts w:hint="default" w:ascii="Times New Roman" w:hAnsi="Times New Roman" w:eastAsia="仿宋_GB2312" w:cs="Times New Roman"/>
          <w:color w:val="0000FF"/>
          <w:kern w:val="0"/>
          <w:sz w:val="32"/>
          <w:szCs w:val="32"/>
          <w:lang w:val="en-US" w:eastAsia="zh-CN" w:bidi="ar"/>
        </w:rPr>
        <w:t>1</w:t>
      </w:r>
      <w:r>
        <w:rPr>
          <w:rFonts w:hint="eastAsia" w:ascii="仿宋_GB2312" w:hAnsi="Times New Roman" w:eastAsia="仿宋_GB2312" w:cs="仿宋_GB2312"/>
          <w:color w:val="0000FF"/>
          <w:kern w:val="0"/>
          <w:sz w:val="32"/>
          <w:szCs w:val="32"/>
          <w:lang w:val="en-US" w:eastAsia="zh-CN" w:bidi="ar"/>
        </w:rPr>
        <w:t>月</w:t>
      </w:r>
      <w:r>
        <w:rPr>
          <w:rFonts w:hint="default" w:ascii="Times New Roman" w:hAnsi="Times New Roman" w:eastAsia="仿宋_GB2312" w:cs="Times New Roman"/>
          <w:color w:val="0000FF"/>
          <w:kern w:val="0"/>
          <w:sz w:val="32"/>
          <w:szCs w:val="32"/>
          <w:lang w:val="en-US" w:eastAsia="zh-CN" w:bidi="ar"/>
        </w:rPr>
        <w:t>1</w:t>
      </w:r>
      <w:r>
        <w:rPr>
          <w:rFonts w:hint="eastAsia" w:ascii="仿宋_GB2312" w:hAnsi="Times New Roman" w:eastAsia="仿宋_GB2312" w:cs="仿宋_GB2312"/>
          <w:color w:val="0000FF"/>
          <w:kern w:val="0"/>
          <w:sz w:val="32"/>
          <w:szCs w:val="32"/>
          <w:lang w:val="en-US" w:eastAsia="zh-CN" w:bidi="ar"/>
        </w:rPr>
        <w:t>日以后授权的发明、外观设计专利或登记的集成电路布图设计并有效。</w:t>
      </w:r>
      <w:bookmarkEnd w:id="1"/>
      <w:r>
        <w:rPr>
          <w:rFonts w:hint="eastAsia" w:ascii="仿宋_GB2312" w:hAnsi="Times New Roman" w:eastAsia="仿宋_GB2312" w:cs="仿宋_GB2312"/>
          <w:kern w:val="0"/>
          <w:sz w:val="32"/>
          <w:szCs w:val="32"/>
          <w:lang w:val="en-US" w:eastAsia="zh-CN" w:bidi="ar"/>
        </w:rPr>
        <w:t>除参赛核心专利（含集成电路布图设计）之外，参赛主体应该将与参赛项目关系最密切且能够形成专利组合的不超过</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个全球范围内的发明专利、实用新型专利、外观设计专利、集成电路布图设计一起参赛。</w:t>
      </w:r>
    </w:p>
    <w:p w14:paraId="46E0E70E">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bookmarkStart w:id="2" w:name="OLE_LINK3"/>
      <w:r>
        <w:rPr>
          <w:rFonts w:hint="eastAsia" w:ascii="仿宋_GB2312" w:hAnsi="Times New Roman" w:eastAsia="仿宋_GB2312" w:cs="仿宋_GB2312"/>
          <w:color w:val="0000FF"/>
          <w:kern w:val="0"/>
          <w:sz w:val="32"/>
          <w:szCs w:val="32"/>
          <w:lang w:val="en-US" w:eastAsia="zh-CN" w:bidi="ar"/>
        </w:rPr>
        <w:t>参赛项目所属专利技术领域应以战略性产业集群为主，包括</w:t>
      </w:r>
      <w:r>
        <w:rPr>
          <w:rFonts w:hint="eastAsia" w:ascii="仿宋_GB2312" w:hAnsi="Times New Roman" w:eastAsia="仿宋_GB2312" w:cs="仿宋_GB2312"/>
          <w:b/>
          <w:color w:val="0000FF"/>
          <w:kern w:val="0"/>
          <w:sz w:val="32"/>
          <w:szCs w:val="32"/>
          <w:lang w:val="en-US" w:eastAsia="zh-CN" w:bidi="ar"/>
        </w:rPr>
        <w:t>战略性支柱产业集群</w:t>
      </w:r>
      <w:r>
        <w:rPr>
          <w:rFonts w:hint="eastAsia" w:ascii="仿宋_GB2312" w:hAnsi="Times New Roman" w:eastAsia="仿宋_GB2312" w:cs="仿宋_GB2312"/>
          <w:kern w:val="0"/>
          <w:sz w:val="32"/>
          <w:szCs w:val="32"/>
          <w:lang w:val="en-US" w:eastAsia="zh-CN" w:bidi="ar"/>
        </w:rPr>
        <w:t>（新一代电子信息、绿色石化、智能家电、汽车产业、先进材料、现代轻工纺织、软件与信息服务、超高清视频显示、生物医药与健康、现代农业与食品）</w:t>
      </w:r>
      <w:r>
        <w:rPr>
          <w:rFonts w:hint="eastAsia" w:ascii="仿宋_GB2312" w:hAnsi="Times New Roman" w:eastAsia="仿宋_GB2312" w:cs="仿宋_GB2312"/>
          <w:color w:val="0000FF"/>
          <w:kern w:val="0"/>
          <w:sz w:val="32"/>
          <w:szCs w:val="32"/>
          <w:lang w:val="en-US" w:eastAsia="zh-CN" w:bidi="ar"/>
        </w:rPr>
        <w:t>和</w:t>
      </w:r>
      <w:r>
        <w:rPr>
          <w:rFonts w:hint="eastAsia" w:ascii="仿宋_GB2312" w:hAnsi="Times New Roman" w:eastAsia="仿宋_GB2312" w:cs="仿宋_GB2312"/>
          <w:b/>
          <w:color w:val="0000FF"/>
          <w:kern w:val="0"/>
          <w:sz w:val="32"/>
          <w:szCs w:val="32"/>
          <w:lang w:val="en-US" w:eastAsia="zh-CN" w:bidi="ar"/>
        </w:rPr>
        <w:t>战略性新兴产业集群</w:t>
      </w:r>
      <w:r>
        <w:rPr>
          <w:rFonts w:hint="eastAsia" w:ascii="仿宋_GB2312" w:hAnsi="Times New Roman" w:eastAsia="仿宋_GB2312" w:cs="仿宋_GB2312"/>
          <w:kern w:val="0"/>
          <w:sz w:val="32"/>
          <w:szCs w:val="32"/>
          <w:lang w:val="en-US" w:eastAsia="zh-CN" w:bidi="ar"/>
        </w:rPr>
        <w:t>（半导体与集成电路、高端装备制造、智能机器人、区块链与量子信息、前沿新材料、新能源、激光与增材制造、数字创意、安全应急与环保、精密仪器设备）。</w:t>
      </w:r>
    </w:p>
    <w:bookmarkEnd w:id="2"/>
    <w:p w14:paraId="68CE4A3A">
      <w:pPr>
        <w:keepNext w:val="0"/>
        <w:keepLines w:val="0"/>
        <w:widowControl w:val="0"/>
        <w:numPr>
          <w:ilvl w:val="0"/>
          <w:numId w:val="1"/>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color w:val="0000FF"/>
          <w:kern w:val="0"/>
          <w:sz w:val="32"/>
          <w:szCs w:val="32"/>
        </w:rPr>
      </w:pPr>
      <w:bookmarkStart w:id="3" w:name="OLE_LINK4"/>
      <w:r>
        <w:rPr>
          <w:rFonts w:hint="eastAsia" w:ascii="仿宋_GB2312" w:hAnsi="Times New Roman" w:eastAsia="仿宋_GB2312" w:cs="仿宋_GB2312"/>
          <w:color w:val="0000FF"/>
          <w:kern w:val="0"/>
          <w:sz w:val="32"/>
          <w:szCs w:val="32"/>
          <w:lang w:val="en-US" w:eastAsia="zh-CN" w:bidi="ar"/>
        </w:rPr>
        <w:t>已获得过国家级、省级专利奖的项目，不得报名参加比赛。</w:t>
      </w:r>
    </w:p>
    <w:bookmarkEnd w:id="3"/>
    <w:p w14:paraId="2733F3D7">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b/>
          <w:kern w:val="0"/>
          <w:sz w:val="32"/>
          <w:szCs w:val="32"/>
        </w:rPr>
      </w:pPr>
      <w:r>
        <w:rPr>
          <w:rFonts w:hint="eastAsia" w:ascii="楷体_GB2312" w:hAnsi="Times New Roman" w:eastAsia="楷体_GB2312" w:cs="楷体_GB2312"/>
          <w:kern w:val="0"/>
          <w:sz w:val="32"/>
          <w:szCs w:val="32"/>
          <w:lang w:val="en-US" w:eastAsia="zh-CN" w:bidi="ar"/>
        </w:rPr>
        <w:t>（二）参赛主体（团队）要求</w:t>
      </w:r>
    </w:p>
    <w:p w14:paraId="2E9F2F8A">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color w:val="0000FF"/>
          <w:kern w:val="0"/>
          <w:sz w:val="32"/>
          <w:szCs w:val="32"/>
          <w:lang w:val="en-US" w:eastAsia="zh-CN" w:bidi="ar"/>
        </w:rPr>
        <w:t>参赛项目必须由项目参赛核心专利（含集成电路布图设计）的权利人（之一）报名参加。</w:t>
      </w:r>
      <w:r>
        <w:rPr>
          <w:rFonts w:hint="eastAsia" w:ascii="仿宋_GB2312" w:hAnsi="Times New Roman" w:eastAsia="仿宋_GB2312" w:cs="仿宋_GB2312"/>
          <w:kern w:val="0"/>
          <w:sz w:val="32"/>
          <w:szCs w:val="32"/>
          <w:lang w:val="en-US" w:eastAsia="zh-CN" w:bidi="ar"/>
        </w:rPr>
        <w:t>如果参赛主体为参赛核心专利（含集成电路布图设计）的多个权利人之一的，参赛事项应获得其他权利人的书面同意。参赛主体可以与知识产权服务机构等联合组队参赛。</w:t>
      </w:r>
    </w:p>
    <w:p w14:paraId="1F96331E">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参赛团队成员可包括参赛主体在册员工和服务机构在册员工。一经报名，参赛团队中的服务机构成员不可变更，参赛主体成员若发生变更，应报大赛执委会并在</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官网公示后更换。大赛中上场答辩的人员，必须是已报名的参赛团队成员。</w:t>
      </w:r>
    </w:p>
    <w:p w14:paraId="116279AA">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香港、澳门以外的境外科创项目参赛，参赛主体不可独立参赛，应与境内创新主体或知识产权服务机构联合参赛。</w:t>
      </w:r>
    </w:p>
    <w:p w14:paraId="375A40C6">
      <w:pPr>
        <w:pStyle w:val="4"/>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知识产权服务机构不可独立作为参赛主体参赛，可与有效参赛主体联合参赛。联合参赛的服务机构应为依法成立的专利代理、检索、分析、咨询、评估、运营、维权等各类知识产权服务机构（含分支办事机构），且无不良经营记录。</w:t>
      </w:r>
    </w:p>
    <w:p w14:paraId="554E53A9">
      <w:pPr>
        <w:keepNext w:val="0"/>
        <w:keepLines w:val="0"/>
        <w:widowControl w:val="0"/>
        <w:numPr>
          <w:ilvl w:val="0"/>
          <w:numId w:val="2"/>
        </w:numPr>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知识产权服务机构联合参赛实行回避制度，同一个服务机构不能派员同时参加比赛和评委工作。</w:t>
      </w:r>
    </w:p>
    <w:p w14:paraId="233D63EA">
      <w:pPr>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color w:val="0000FF"/>
          <w:kern w:val="0"/>
          <w:sz w:val="32"/>
          <w:szCs w:val="32"/>
        </w:rPr>
      </w:pPr>
      <w:r>
        <w:rPr>
          <w:rFonts w:hint="eastAsia" w:ascii="仿宋_GB2312" w:hAnsi="Times New Roman" w:eastAsia="仿宋_GB2312" w:cs="仿宋_GB2312"/>
          <w:color w:val="auto"/>
          <w:kern w:val="0"/>
          <w:sz w:val="32"/>
          <w:szCs w:val="32"/>
          <w:lang w:val="en-US" w:eastAsia="zh-CN" w:bidi="ar"/>
        </w:rPr>
        <w:t>同</w:t>
      </w:r>
      <w:r>
        <w:rPr>
          <w:rFonts w:hint="eastAsia" w:ascii="仿宋_GB2312" w:hAnsi="Times New Roman" w:eastAsia="仿宋_GB2312" w:cs="仿宋_GB2312"/>
          <w:kern w:val="0"/>
          <w:sz w:val="32"/>
          <w:szCs w:val="32"/>
          <w:lang w:val="en-US" w:eastAsia="zh-CN" w:bidi="ar"/>
        </w:rPr>
        <w:t>一企业报名参赛项目不得超过</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个，</w:t>
      </w:r>
      <w:r>
        <w:rPr>
          <w:rFonts w:hint="eastAsia" w:ascii="仿宋_GB2312" w:hAnsi="Times New Roman" w:eastAsia="仿宋_GB2312" w:cs="仿宋_GB2312"/>
          <w:color w:val="0000FF"/>
          <w:kern w:val="0"/>
          <w:sz w:val="32"/>
          <w:szCs w:val="32"/>
          <w:lang w:val="en-US" w:eastAsia="zh-CN" w:bidi="ar"/>
        </w:rPr>
        <w:t>高校或科研院所不受报名数量限制。</w:t>
      </w:r>
    </w:p>
    <w:p w14:paraId="1F54F930">
      <w:pPr>
        <w:keepNext w:val="0"/>
        <w:keepLines w:val="0"/>
        <w:widowControl w:val="0"/>
        <w:numPr>
          <w:ilvl w:val="0"/>
          <w:numId w:val="2"/>
        </w:numPr>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i w:val="0"/>
          <w:kern w:val="2"/>
          <w:sz w:val="32"/>
          <w:szCs w:val="32"/>
        </w:rPr>
      </w:pPr>
      <w:r>
        <w:rPr>
          <w:rFonts w:hint="eastAsia" w:ascii="仿宋_GB2312" w:hAnsi="Times New Roman" w:eastAsia="仿宋_GB2312" w:cs="仿宋_GB2312"/>
          <w:i w:val="0"/>
          <w:kern w:val="0"/>
          <w:sz w:val="32"/>
          <w:szCs w:val="32"/>
          <w:lang w:val="en-US" w:eastAsia="zh-CN" w:bidi="ar"/>
        </w:rPr>
        <w:t>出现恶意非正常专利申请现</w:t>
      </w:r>
      <w:bookmarkStart w:id="6" w:name="_GoBack"/>
      <w:bookmarkEnd w:id="6"/>
      <w:r>
        <w:rPr>
          <w:rFonts w:hint="eastAsia" w:ascii="仿宋_GB2312" w:hAnsi="Times New Roman" w:eastAsia="仿宋_GB2312" w:cs="仿宋_GB2312"/>
          <w:i w:val="0"/>
          <w:kern w:val="0"/>
          <w:sz w:val="32"/>
          <w:szCs w:val="32"/>
          <w:lang w:val="en-US" w:eastAsia="zh-CN" w:bidi="ar"/>
        </w:rPr>
        <w:t>象的参赛主体，取消其获奖资格。</w:t>
      </w:r>
    </w:p>
    <w:p w14:paraId="4131FEE8">
      <w:pPr>
        <w:keepNext w:val="0"/>
        <w:keepLines w:val="0"/>
        <w:widowControl w:val="0"/>
        <w:numPr>
          <w:ilvl w:val="0"/>
          <w:numId w:val="0"/>
        </w:numPr>
        <w:suppressLineNumbers w:val="0"/>
        <w:tabs>
          <w:tab w:val="left" w:pos="0"/>
        </w:tabs>
        <w:spacing w:before="0" w:beforeAutospacing="0" w:after="0" w:afterAutospacing="0" w:line="590" w:lineRule="exact"/>
        <w:ind w:right="0" w:rightChars="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五、奖项设置</w:t>
      </w:r>
    </w:p>
    <w:p w14:paraId="0DB1E92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bookmarkStart w:id="4" w:name="OLE_LINK6"/>
      <w:r>
        <w:rPr>
          <w:rFonts w:hint="eastAsia" w:ascii="仿宋_GB2312" w:hAnsi="Times New Roman" w:cs="仿宋_GB2312"/>
          <w:kern w:val="0"/>
          <w:sz w:val="32"/>
          <w:szCs w:val="32"/>
          <w:lang w:val="en-US" w:eastAsia="zh-CN" w:bidi="ar"/>
        </w:rPr>
        <w:t>（一）</w:t>
      </w:r>
      <w:r>
        <w:rPr>
          <w:rFonts w:hint="eastAsia" w:ascii="仿宋_GB2312" w:hAnsi="Times New Roman" w:eastAsia="仿宋_GB2312" w:cs="仿宋_GB2312"/>
          <w:kern w:val="0"/>
          <w:sz w:val="32"/>
          <w:szCs w:val="32"/>
          <w:lang w:val="en-US" w:eastAsia="zh-CN" w:bidi="ar"/>
        </w:rPr>
        <w:t>本届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设金奖、银奖、优秀奖，共</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项，奖金总额</w:t>
      </w:r>
      <w:r>
        <w:rPr>
          <w:rFonts w:hint="default" w:ascii="Times New Roman" w:hAnsi="Times New Roman" w:eastAsia="仿宋_GB2312" w:cs="Times New Roman"/>
          <w:kern w:val="0"/>
          <w:sz w:val="32"/>
          <w:szCs w:val="32"/>
          <w:lang w:val="en-US" w:eastAsia="zh-CN" w:bidi="ar"/>
        </w:rPr>
        <w:t>395</w:t>
      </w:r>
      <w:r>
        <w:rPr>
          <w:rFonts w:hint="eastAsia" w:ascii="仿宋_GB2312" w:hAnsi="Times New Roman" w:eastAsia="仿宋_GB2312" w:cs="仿宋_GB2312"/>
          <w:kern w:val="0"/>
          <w:sz w:val="32"/>
          <w:szCs w:val="32"/>
          <w:lang w:val="en-US" w:eastAsia="zh-CN" w:bidi="ar"/>
        </w:rPr>
        <w:t>万元。具体奖项设置如下：</w:t>
      </w:r>
    </w:p>
    <w:p w14:paraId="6A8D086F">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color w:val="0000FF"/>
          <w:kern w:val="0"/>
          <w:sz w:val="32"/>
          <w:szCs w:val="32"/>
          <w:lang w:val="en-US" w:eastAsia="zh-CN" w:bidi="ar"/>
        </w:rPr>
        <w:t>金奖</w:t>
      </w:r>
      <w:r>
        <w:rPr>
          <w:rFonts w:hint="default" w:ascii="Times New Roman" w:hAnsi="Times New Roman" w:eastAsia="仿宋_GB2312" w:cs="Times New Roman"/>
          <w:color w:val="0000FF"/>
          <w:kern w:val="0"/>
          <w:sz w:val="32"/>
          <w:szCs w:val="32"/>
          <w:lang w:val="en-US" w:eastAsia="zh-CN" w:bidi="ar"/>
        </w:rPr>
        <w:t>10</w:t>
      </w:r>
      <w:r>
        <w:rPr>
          <w:rFonts w:hint="eastAsia" w:ascii="仿宋_GB2312" w:hAnsi="Times New Roman" w:eastAsia="仿宋_GB2312" w:cs="仿宋_GB2312"/>
          <w:color w:val="0000FF"/>
          <w:kern w:val="0"/>
          <w:sz w:val="32"/>
          <w:szCs w:val="32"/>
          <w:lang w:val="en-US" w:eastAsia="zh-CN" w:bidi="ar"/>
        </w:rPr>
        <w:t>项，奖金</w:t>
      </w:r>
      <w:r>
        <w:rPr>
          <w:rFonts w:hint="default" w:ascii="Times New Roman" w:hAnsi="Times New Roman" w:eastAsia="仿宋_GB2312" w:cs="Times New Roman"/>
          <w:color w:val="0000FF"/>
          <w:kern w:val="0"/>
          <w:sz w:val="32"/>
          <w:szCs w:val="32"/>
          <w:lang w:val="en-US" w:eastAsia="zh-CN" w:bidi="ar"/>
        </w:rPr>
        <w:t>20</w:t>
      </w:r>
      <w:r>
        <w:rPr>
          <w:rFonts w:hint="eastAsia" w:ascii="仿宋_GB2312" w:hAnsi="Times New Roman" w:eastAsia="仿宋_GB2312" w:cs="仿宋_GB2312"/>
          <w:color w:val="0000FF"/>
          <w:kern w:val="0"/>
          <w:sz w:val="32"/>
          <w:szCs w:val="32"/>
          <w:lang w:val="en-US" w:eastAsia="zh-CN" w:bidi="ar"/>
        </w:rPr>
        <w:t>万元</w:t>
      </w:r>
      <w:r>
        <w:rPr>
          <w:rFonts w:hint="default" w:ascii="Times New Roman" w:hAnsi="Times New Roman" w:eastAsia="仿宋_GB2312" w:cs="Times New Roman"/>
          <w:color w:val="0000FF"/>
          <w:kern w:val="0"/>
          <w:sz w:val="32"/>
          <w:szCs w:val="32"/>
          <w:lang w:val="en-US" w:eastAsia="zh-CN" w:bidi="ar"/>
        </w:rPr>
        <w:t>/</w:t>
      </w:r>
      <w:r>
        <w:rPr>
          <w:rFonts w:hint="eastAsia" w:ascii="仿宋_GB2312" w:hAnsi="Times New Roman" w:eastAsia="仿宋_GB2312" w:cs="仿宋_GB2312"/>
          <w:color w:val="0000FF"/>
          <w:kern w:val="0"/>
          <w:sz w:val="32"/>
          <w:szCs w:val="32"/>
          <w:lang w:val="en-US" w:eastAsia="zh-CN" w:bidi="ar"/>
        </w:rPr>
        <w:t>项</w:t>
      </w:r>
      <w:r>
        <w:rPr>
          <w:rFonts w:hint="eastAsia" w:ascii="仿宋_GB2312" w:hAnsi="Times New Roman" w:eastAsia="仿宋_GB2312" w:cs="仿宋_GB2312"/>
          <w:kern w:val="0"/>
          <w:sz w:val="32"/>
          <w:szCs w:val="32"/>
          <w:lang w:val="en-US" w:eastAsia="zh-CN" w:bidi="ar"/>
        </w:rPr>
        <w:t>，金奖奖金合计</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万元。</w:t>
      </w:r>
    </w:p>
    <w:p w14:paraId="4B3BDD01">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color w:val="0000FF"/>
          <w:kern w:val="0"/>
          <w:sz w:val="32"/>
          <w:szCs w:val="32"/>
          <w:lang w:val="en-US" w:eastAsia="zh-CN" w:bidi="ar"/>
        </w:rPr>
        <w:t>银奖</w:t>
      </w:r>
      <w:r>
        <w:rPr>
          <w:rFonts w:hint="default" w:ascii="Times New Roman" w:hAnsi="Times New Roman" w:eastAsia="仿宋_GB2312" w:cs="Times New Roman"/>
          <w:color w:val="0000FF"/>
          <w:kern w:val="0"/>
          <w:sz w:val="32"/>
          <w:szCs w:val="32"/>
          <w:lang w:val="en-US" w:eastAsia="zh-CN" w:bidi="ar"/>
        </w:rPr>
        <w:t>15</w:t>
      </w:r>
      <w:r>
        <w:rPr>
          <w:rFonts w:hint="eastAsia" w:ascii="仿宋_GB2312" w:hAnsi="Times New Roman" w:eastAsia="仿宋_GB2312" w:cs="仿宋_GB2312"/>
          <w:color w:val="0000FF"/>
          <w:kern w:val="0"/>
          <w:sz w:val="32"/>
          <w:szCs w:val="32"/>
          <w:lang w:val="en-US" w:eastAsia="zh-CN" w:bidi="ar"/>
        </w:rPr>
        <w:t>项，奖金</w:t>
      </w:r>
      <w:r>
        <w:rPr>
          <w:rFonts w:hint="default" w:ascii="Times New Roman" w:hAnsi="Times New Roman" w:eastAsia="仿宋_GB2312" w:cs="Times New Roman"/>
          <w:color w:val="0000FF"/>
          <w:kern w:val="0"/>
          <w:sz w:val="32"/>
          <w:szCs w:val="32"/>
          <w:lang w:val="en-US" w:eastAsia="zh-CN" w:bidi="ar"/>
        </w:rPr>
        <w:t>8</w:t>
      </w:r>
      <w:r>
        <w:rPr>
          <w:rFonts w:hint="eastAsia" w:ascii="仿宋_GB2312" w:hAnsi="Times New Roman" w:eastAsia="仿宋_GB2312" w:cs="仿宋_GB2312"/>
          <w:color w:val="0000FF"/>
          <w:kern w:val="0"/>
          <w:sz w:val="32"/>
          <w:szCs w:val="32"/>
          <w:lang w:val="en-US" w:eastAsia="zh-CN" w:bidi="ar"/>
        </w:rPr>
        <w:t>万元</w:t>
      </w:r>
      <w:r>
        <w:rPr>
          <w:rFonts w:hint="default" w:ascii="Times New Roman" w:hAnsi="Times New Roman" w:eastAsia="仿宋_GB2312" w:cs="Times New Roman"/>
          <w:color w:val="0000FF"/>
          <w:kern w:val="0"/>
          <w:sz w:val="32"/>
          <w:szCs w:val="32"/>
          <w:lang w:val="en-US" w:eastAsia="zh-CN" w:bidi="ar"/>
        </w:rPr>
        <w:t>/</w:t>
      </w:r>
      <w:r>
        <w:rPr>
          <w:rFonts w:hint="eastAsia" w:ascii="仿宋_GB2312" w:hAnsi="Times New Roman" w:eastAsia="仿宋_GB2312" w:cs="仿宋_GB2312"/>
          <w:color w:val="0000FF"/>
          <w:kern w:val="0"/>
          <w:sz w:val="32"/>
          <w:szCs w:val="32"/>
          <w:lang w:val="en-US" w:eastAsia="zh-CN" w:bidi="ar"/>
        </w:rPr>
        <w:t>项</w:t>
      </w:r>
      <w:r>
        <w:rPr>
          <w:rFonts w:hint="eastAsia" w:ascii="仿宋_GB2312" w:hAnsi="Times New Roman" w:eastAsia="仿宋_GB2312" w:cs="仿宋_GB2312"/>
          <w:kern w:val="0"/>
          <w:sz w:val="32"/>
          <w:szCs w:val="32"/>
          <w:lang w:val="en-US" w:eastAsia="zh-CN" w:bidi="ar"/>
        </w:rPr>
        <w:t>，银奖奖金合计</w:t>
      </w:r>
      <w:r>
        <w:rPr>
          <w:rFonts w:hint="default" w:ascii="Times New Roman" w:hAnsi="Times New Roman" w:eastAsia="仿宋_GB2312" w:cs="Times New Roman"/>
          <w:kern w:val="0"/>
          <w:sz w:val="32"/>
          <w:szCs w:val="32"/>
          <w:lang w:val="en-US" w:eastAsia="zh-CN" w:bidi="ar"/>
        </w:rPr>
        <w:t>120</w:t>
      </w:r>
      <w:r>
        <w:rPr>
          <w:rFonts w:hint="eastAsia" w:ascii="仿宋_GB2312" w:hAnsi="Times New Roman" w:eastAsia="仿宋_GB2312" w:cs="仿宋_GB2312"/>
          <w:kern w:val="0"/>
          <w:sz w:val="32"/>
          <w:szCs w:val="32"/>
          <w:lang w:val="en-US" w:eastAsia="zh-CN" w:bidi="ar"/>
        </w:rPr>
        <w:t>万元。</w:t>
      </w:r>
    </w:p>
    <w:p w14:paraId="50357DBC">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color w:val="0000FF"/>
          <w:kern w:val="0"/>
          <w:sz w:val="32"/>
          <w:szCs w:val="32"/>
          <w:lang w:val="en-US" w:eastAsia="zh-CN" w:bidi="ar"/>
        </w:rPr>
        <w:t>优秀奖</w:t>
      </w:r>
      <w:r>
        <w:rPr>
          <w:rFonts w:hint="default" w:ascii="Times New Roman" w:hAnsi="Times New Roman" w:eastAsia="仿宋_GB2312" w:cs="Times New Roman"/>
          <w:color w:val="0000FF"/>
          <w:kern w:val="0"/>
          <w:sz w:val="32"/>
          <w:szCs w:val="32"/>
          <w:lang w:val="en-US" w:eastAsia="zh-CN" w:bidi="ar"/>
        </w:rPr>
        <w:t>25</w:t>
      </w:r>
      <w:r>
        <w:rPr>
          <w:rFonts w:hint="eastAsia" w:ascii="仿宋_GB2312" w:hAnsi="Times New Roman" w:eastAsia="仿宋_GB2312" w:cs="仿宋_GB2312"/>
          <w:color w:val="0000FF"/>
          <w:kern w:val="0"/>
          <w:sz w:val="32"/>
          <w:szCs w:val="32"/>
          <w:lang w:val="en-US" w:eastAsia="zh-CN" w:bidi="ar"/>
        </w:rPr>
        <w:t>项，奖金</w:t>
      </w:r>
      <w:r>
        <w:rPr>
          <w:rFonts w:hint="default" w:ascii="Times New Roman" w:hAnsi="Times New Roman" w:eastAsia="仿宋_GB2312" w:cs="Times New Roman"/>
          <w:color w:val="0000FF"/>
          <w:kern w:val="0"/>
          <w:sz w:val="32"/>
          <w:szCs w:val="32"/>
          <w:lang w:val="en-US" w:eastAsia="zh-CN" w:bidi="ar"/>
        </w:rPr>
        <w:t>3</w:t>
      </w:r>
      <w:r>
        <w:rPr>
          <w:rFonts w:hint="eastAsia" w:ascii="仿宋_GB2312" w:hAnsi="Times New Roman" w:eastAsia="仿宋_GB2312" w:cs="仿宋_GB2312"/>
          <w:color w:val="0000FF"/>
          <w:kern w:val="0"/>
          <w:sz w:val="32"/>
          <w:szCs w:val="32"/>
          <w:lang w:val="en-US" w:eastAsia="zh-CN" w:bidi="ar"/>
        </w:rPr>
        <w:t>万元</w:t>
      </w:r>
      <w:r>
        <w:rPr>
          <w:rFonts w:hint="default" w:ascii="Times New Roman" w:hAnsi="Times New Roman" w:eastAsia="仿宋_GB2312" w:cs="Times New Roman"/>
          <w:color w:val="0000FF"/>
          <w:kern w:val="0"/>
          <w:sz w:val="32"/>
          <w:szCs w:val="32"/>
          <w:lang w:val="en-US" w:eastAsia="zh-CN" w:bidi="ar"/>
        </w:rPr>
        <w:t>/</w:t>
      </w:r>
      <w:r>
        <w:rPr>
          <w:rFonts w:hint="eastAsia" w:ascii="仿宋_GB2312" w:hAnsi="Times New Roman" w:eastAsia="仿宋_GB2312" w:cs="仿宋_GB2312"/>
          <w:color w:val="0000FF"/>
          <w:kern w:val="0"/>
          <w:sz w:val="32"/>
          <w:szCs w:val="32"/>
          <w:lang w:val="en-US" w:eastAsia="zh-CN" w:bidi="ar"/>
        </w:rPr>
        <w:t>项</w:t>
      </w:r>
      <w:r>
        <w:rPr>
          <w:rFonts w:hint="eastAsia" w:ascii="仿宋_GB2312" w:hAnsi="Times New Roman" w:eastAsia="仿宋_GB2312" w:cs="仿宋_GB2312"/>
          <w:kern w:val="0"/>
          <w:sz w:val="32"/>
          <w:szCs w:val="32"/>
          <w:lang w:val="en-US" w:eastAsia="zh-CN" w:bidi="ar"/>
        </w:rPr>
        <w:t>，优秀奖奖金合计</w:t>
      </w:r>
      <w:r>
        <w:rPr>
          <w:rFonts w:hint="default" w:ascii="Times New Roman" w:hAnsi="Times New Roman" w:eastAsia="仿宋_GB2312" w:cs="Times New Roman"/>
          <w:kern w:val="0"/>
          <w:sz w:val="32"/>
          <w:szCs w:val="32"/>
          <w:lang w:val="en-US" w:eastAsia="zh-CN" w:bidi="ar"/>
        </w:rPr>
        <w:t>75</w:t>
      </w:r>
      <w:r>
        <w:rPr>
          <w:rFonts w:hint="eastAsia" w:ascii="仿宋_GB2312" w:hAnsi="Times New Roman" w:eastAsia="仿宋_GB2312" w:cs="仿宋_GB2312"/>
          <w:kern w:val="0"/>
          <w:sz w:val="32"/>
          <w:szCs w:val="32"/>
          <w:lang w:val="en-US" w:eastAsia="zh-CN" w:bidi="ar"/>
        </w:rPr>
        <w:t>万元。</w:t>
      </w:r>
    </w:p>
    <w:p w14:paraId="583DDF33">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同一参赛主体，即</w:t>
      </w:r>
      <w:r>
        <w:rPr>
          <w:rFonts w:hint="eastAsia" w:ascii="仿宋_GB2312" w:hAnsi="Times New Roman" w:eastAsia="仿宋_GB2312" w:cs="仿宋_GB2312"/>
          <w:color w:val="0000FF"/>
          <w:kern w:val="0"/>
          <w:sz w:val="32"/>
          <w:szCs w:val="32"/>
          <w:lang w:val="en-US" w:eastAsia="zh-CN" w:bidi="ar"/>
        </w:rPr>
        <w:t>高校</w:t>
      </w:r>
      <w:r>
        <w:rPr>
          <w:rFonts w:hint="eastAsia" w:ascii="仿宋_GB2312" w:hAnsi="Times New Roman" w:eastAsia="仿宋_GB2312" w:cs="仿宋_GB2312"/>
          <w:kern w:val="0"/>
          <w:sz w:val="32"/>
          <w:szCs w:val="32"/>
          <w:lang w:val="en-US" w:eastAsia="zh-CN" w:bidi="ar"/>
        </w:rPr>
        <w:t>、科研院所、企业（包含其全资及控股子公司）</w:t>
      </w:r>
      <w:r>
        <w:rPr>
          <w:rFonts w:hint="eastAsia" w:ascii="仿宋_GB2312" w:hAnsi="Times New Roman" w:eastAsia="仿宋_GB2312" w:cs="仿宋_GB2312"/>
          <w:color w:val="0000FF"/>
          <w:kern w:val="0"/>
          <w:sz w:val="32"/>
          <w:szCs w:val="32"/>
          <w:lang w:val="en-US" w:eastAsia="zh-CN" w:bidi="ar"/>
        </w:rPr>
        <w:t>不可重复获得金奖，且获奖总数不得超过</w:t>
      </w:r>
      <w:r>
        <w:rPr>
          <w:rFonts w:hint="default" w:ascii="Times New Roman" w:hAnsi="Times New Roman" w:eastAsia="仿宋_GB2312" w:cs="Times New Roman"/>
          <w:color w:val="0000FF"/>
          <w:kern w:val="0"/>
          <w:sz w:val="32"/>
          <w:szCs w:val="32"/>
          <w:lang w:val="en-US" w:eastAsia="zh-CN" w:bidi="ar"/>
        </w:rPr>
        <w:t>3</w:t>
      </w:r>
      <w:r>
        <w:rPr>
          <w:rFonts w:hint="eastAsia" w:ascii="仿宋_GB2312" w:hAnsi="Times New Roman" w:eastAsia="仿宋_GB2312" w:cs="仿宋_GB2312"/>
          <w:color w:val="0000FF"/>
          <w:kern w:val="0"/>
          <w:sz w:val="32"/>
          <w:szCs w:val="32"/>
          <w:lang w:val="en-US" w:eastAsia="zh-CN" w:bidi="ar"/>
        </w:rPr>
        <w:t>项。</w:t>
      </w:r>
      <w:r>
        <w:rPr>
          <w:rFonts w:hint="eastAsia" w:ascii="仿宋_GB2312" w:hAnsi="Times New Roman" w:eastAsia="仿宋_GB2312" w:cs="仿宋_GB2312"/>
          <w:kern w:val="0"/>
          <w:sz w:val="32"/>
          <w:szCs w:val="32"/>
          <w:lang w:val="en-US" w:eastAsia="zh-CN" w:bidi="ar"/>
        </w:rPr>
        <w:t>奖项将根据成绩排名去重录取。</w:t>
      </w:r>
    </w:p>
    <w:p w14:paraId="63D88CE1">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bidi="ar"/>
        </w:rPr>
        <w:t>（三）</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双百强、百强获奖项目将获得该奖项牌匾或获奖证书。</w:t>
      </w:r>
    </w:p>
    <w:p w14:paraId="1B705FF7">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cs="仿宋_GB2312"/>
          <w:kern w:val="0"/>
          <w:sz w:val="32"/>
          <w:szCs w:val="32"/>
          <w:lang w:val="en-US" w:eastAsia="zh-CN" w:bidi="ar"/>
        </w:rPr>
        <w:t>（四）</w:t>
      </w:r>
      <w:r>
        <w:rPr>
          <w:rFonts w:hint="eastAsia" w:ascii="仿宋_GB2312" w:hAnsi="Times New Roman" w:eastAsia="仿宋_GB2312" w:cs="仿宋_GB2312"/>
          <w:kern w:val="0"/>
          <w:sz w:val="32"/>
          <w:szCs w:val="32"/>
          <w:lang w:val="en-US" w:eastAsia="zh-CN" w:bidi="ar"/>
        </w:rPr>
        <w:t>为激励省内各市局对湾高赛的支持，设立最佳组织奖。</w:t>
      </w:r>
    </w:p>
    <w:bookmarkEnd w:id="4"/>
    <w:p w14:paraId="354F66B2">
      <w:pPr>
        <w:keepNext w:val="0"/>
        <w:keepLines w:val="0"/>
        <w:widowControl w:val="0"/>
        <w:suppressLineNumbers w:val="0"/>
        <w:adjustRightIn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六、具体赛程</w:t>
      </w:r>
    </w:p>
    <w:p w14:paraId="362A390C">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大赛包括以下具体五个阶段：</w:t>
      </w:r>
    </w:p>
    <w:p w14:paraId="3873A2A0">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仿宋_GB2312" w:cs="Times New Roman"/>
          <w:b/>
          <w:kern w:val="0"/>
          <w:sz w:val="32"/>
          <w:szCs w:val="32"/>
        </w:rPr>
      </w:pPr>
      <w:r>
        <w:rPr>
          <w:rFonts w:hint="default" w:ascii="Times New Roman" w:hAnsi="Times New Roman" w:eastAsia="楷体_GB2312" w:cs="Times New Roman"/>
          <w:kern w:val="0"/>
          <w:sz w:val="32"/>
          <w:szCs w:val="32"/>
          <w:lang w:val="en-US" w:eastAsia="zh-CN" w:bidi="ar"/>
        </w:rPr>
        <w:t>（一）启动和推广（2024年8月—9月）</w:t>
      </w:r>
    </w:p>
    <w:p w14:paraId="55374EBA">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月，召开</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年粤港澳大湾区高价值专利培育布局大赛启动大会，同时开启后台报名系统。面向全国宣传推广第六届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，征集以高价值专利组合为核心的创新项目报名参赛。</w:t>
      </w:r>
    </w:p>
    <w:p w14:paraId="3C0D50F0">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启动会后至</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月期间将发起广东省内及港澳地区赛事巡讲和专利培育布局培训工作，帮助参赛者全面掌握第六届</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的赛事规则及有关注意事项，提升创新主体高价值专利的培育与布局能力。</w:t>
      </w:r>
    </w:p>
    <w:p w14:paraId="69B050F6">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color w:val="0000FF"/>
          <w:kern w:val="0"/>
          <w:sz w:val="32"/>
          <w:szCs w:val="32"/>
        </w:rPr>
      </w:pPr>
      <w:bookmarkStart w:id="5" w:name="OLE_LINK5"/>
      <w:r>
        <w:rPr>
          <w:rFonts w:hint="default" w:ascii="Times New Roman" w:hAnsi="Times New Roman" w:eastAsia="仿宋_GB2312" w:cs="Times New Roman"/>
          <w:color w:val="0000FF"/>
          <w:kern w:val="0"/>
          <w:sz w:val="32"/>
          <w:szCs w:val="32"/>
          <w:lang w:val="en-US" w:eastAsia="zh-CN" w:bidi="ar"/>
        </w:rPr>
        <w:t>2024</w:t>
      </w:r>
      <w:r>
        <w:rPr>
          <w:rFonts w:hint="eastAsia" w:ascii="仿宋_GB2312" w:hAnsi="Times New Roman" w:eastAsia="仿宋_GB2312" w:cs="仿宋_GB2312"/>
          <w:color w:val="0000FF"/>
          <w:kern w:val="0"/>
          <w:sz w:val="32"/>
          <w:szCs w:val="32"/>
          <w:lang w:val="en-US" w:eastAsia="zh-CN" w:bidi="ar"/>
        </w:rPr>
        <w:t>年粤港澳大湾区高价值专利培育布局大赛参赛报名截止日期为</w:t>
      </w:r>
      <w:r>
        <w:rPr>
          <w:rFonts w:hint="default" w:ascii="Times New Roman" w:hAnsi="Times New Roman" w:eastAsia="仿宋_GB2312" w:cs="Times New Roman"/>
          <w:color w:val="0000FF"/>
          <w:kern w:val="0"/>
          <w:sz w:val="32"/>
          <w:szCs w:val="32"/>
          <w:lang w:val="en-US" w:eastAsia="zh-CN" w:bidi="ar"/>
        </w:rPr>
        <w:t>2024</w:t>
      </w:r>
      <w:r>
        <w:rPr>
          <w:rFonts w:hint="eastAsia" w:ascii="仿宋_GB2312" w:hAnsi="Times New Roman" w:eastAsia="仿宋_GB2312" w:cs="仿宋_GB2312"/>
          <w:color w:val="0000FF"/>
          <w:kern w:val="0"/>
          <w:sz w:val="32"/>
          <w:szCs w:val="32"/>
          <w:lang w:val="en-US" w:eastAsia="zh-CN" w:bidi="ar"/>
        </w:rPr>
        <w:t>年</w:t>
      </w:r>
      <w:r>
        <w:rPr>
          <w:rFonts w:hint="default" w:ascii="Times New Roman" w:hAnsi="Times New Roman" w:eastAsia="仿宋_GB2312" w:cs="Times New Roman"/>
          <w:color w:val="0000FF"/>
          <w:kern w:val="0"/>
          <w:sz w:val="32"/>
          <w:szCs w:val="32"/>
          <w:lang w:val="en-US" w:eastAsia="zh-CN" w:bidi="ar"/>
        </w:rPr>
        <w:t>9</w:t>
      </w:r>
      <w:r>
        <w:rPr>
          <w:rFonts w:hint="eastAsia" w:ascii="仿宋_GB2312" w:hAnsi="Times New Roman" w:eastAsia="仿宋_GB2312" w:cs="仿宋_GB2312"/>
          <w:color w:val="0000FF"/>
          <w:kern w:val="0"/>
          <w:sz w:val="32"/>
          <w:szCs w:val="32"/>
          <w:lang w:val="en-US" w:eastAsia="zh-CN" w:bidi="ar"/>
        </w:rPr>
        <w:t>月</w:t>
      </w:r>
      <w:r>
        <w:rPr>
          <w:rFonts w:hint="default" w:ascii="Times New Roman" w:hAnsi="Times New Roman" w:eastAsia="仿宋_GB2312" w:cs="Times New Roman"/>
          <w:color w:val="0000FF"/>
          <w:kern w:val="0"/>
          <w:sz w:val="32"/>
          <w:szCs w:val="32"/>
          <w:lang w:val="en-US" w:eastAsia="zh-CN" w:bidi="ar"/>
        </w:rPr>
        <w:t>30</w:t>
      </w:r>
      <w:r>
        <w:rPr>
          <w:rFonts w:hint="eastAsia" w:ascii="仿宋_GB2312" w:hAnsi="Times New Roman" w:eastAsia="仿宋_GB2312" w:cs="仿宋_GB2312"/>
          <w:color w:val="0000FF"/>
          <w:kern w:val="0"/>
          <w:sz w:val="32"/>
          <w:szCs w:val="32"/>
          <w:lang w:val="en-US" w:eastAsia="zh-CN" w:bidi="ar"/>
        </w:rPr>
        <w:t>日。</w:t>
      </w:r>
    </w:p>
    <w:bookmarkEnd w:id="5"/>
    <w:p w14:paraId="724F060B">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（二）初赛和评选双百强（</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月，江门市）</w:t>
      </w:r>
    </w:p>
    <w:p w14:paraId="32F42361">
      <w:pPr>
        <w:keepNext w:val="0"/>
        <w:keepLines w:val="0"/>
        <w:widowControl w:val="0"/>
        <w:suppressLineNumbers w:val="0"/>
        <w:adjustRightIn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初赛阶段分为两个环节。</w:t>
      </w:r>
    </w:p>
    <w:p w14:paraId="5005FE9A">
      <w:pPr>
        <w:keepNext w:val="0"/>
        <w:keepLines w:val="0"/>
        <w:widowControl w:val="0"/>
        <w:suppressLineNumbers w:val="0"/>
        <w:adjustRightIn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一是初步评审</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95</w:t>
      </w:r>
      <w:r>
        <w:rPr>
          <w:rFonts w:hint="eastAsia" w:ascii="仿宋_GB2312" w:hAnsi="Times New Roman" w:eastAsia="仿宋_GB2312" w:cs="仿宋_GB2312"/>
          <w:kern w:val="0"/>
          <w:sz w:val="32"/>
          <w:szCs w:val="32"/>
          <w:lang w:val="en-US" w:eastAsia="zh-CN" w:bidi="ar"/>
        </w:rPr>
        <w:t>分）。由大赛执委会组织专业评委对申报项目进行评审，评审重点考察项目主要专利产品技术先进性（艺术、布图独特性）、专利产品技术效果（艺术、布图效果）、专利产品市场规模，核心专利授权文本质量、保护范围及稳定性，项目中已布局其他相关专利的数量、类型和质量。</w:t>
      </w:r>
    </w:p>
    <w:p w14:paraId="2D3C4329">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二是网络投票</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分）。为积极推动参赛热情，本届投票规则为投票票数为</w:t>
      </w:r>
      <w:r>
        <w:rPr>
          <w:rFonts w:hint="default" w:ascii="Times New Roman" w:hAnsi="Times New Roman" w:eastAsia="仿宋_GB2312" w:cs="Times New Roman"/>
          <w:kern w:val="0"/>
          <w:sz w:val="32"/>
          <w:szCs w:val="32"/>
          <w:lang w:val="en-US" w:eastAsia="zh-CN" w:bidi="ar"/>
        </w:rPr>
        <w:t>0—2500</w:t>
      </w:r>
      <w:r>
        <w:rPr>
          <w:rFonts w:hint="eastAsia" w:ascii="仿宋_GB2312" w:hAnsi="Times New Roman" w:eastAsia="仿宋_GB2312" w:cs="仿宋_GB2312"/>
          <w:kern w:val="0"/>
          <w:sz w:val="32"/>
          <w:szCs w:val="32"/>
          <w:lang w:val="en-US" w:eastAsia="zh-CN" w:bidi="ar"/>
        </w:rPr>
        <w:t>票对应</w:t>
      </w:r>
      <w:r>
        <w:rPr>
          <w:rFonts w:hint="default" w:ascii="Times New Roman" w:hAnsi="Times New Roman" w:eastAsia="仿宋_GB2312" w:cs="Times New Roman"/>
          <w:kern w:val="0"/>
          <w:sz w:val="32"/>
          <w:szCs w:val="32"/>
          <w:lang w:val="en-US" w:eastAsia="zh-CN" w:bidi="ar"/>
        </w:rPr>
        <w:t>0—5</w:t>
      </w:r>
      <w:r>
        <w:rPr>
          <w:rFonts w:hint="eastAsia" w:ascii="仿宋_GB2312" w:hAnsi="Times New Roman" w:eastAsia="仿宋_GB2312" w:cs="仿宋_GB2312"/>
          <w:kern w:val="0"/>
          <w:sz w:val="32"/>
          <w:szCs w:val="32"/>
          <w:lang w:val="en-US" w:eastAsia="zh-CN" w:bidi="ar"/>
        </w:rPr>
        <w:t>分，即满</w:t>
      </w:r>
      <w:r>
        <w:rPr>
          <w:rFonts w:hint="default" w:ascii="Times New Roman" w:hAnsi="Times New Roman" w:eastAsia="仿宋_GB2312" w:cs="Times New Roman"/>
          <w:kern w:val="0"/>
          <w:sz w:val="32"/>
          <w:szCs w:val="32"/>
          <w:lang w:val="en-US" w:eastAsia="zh-CN" w:bidi="ar"/>
        </w:rPr>
        <w:t>2500</w:t>
      </w:r>
      <w:r>
        <w:rPr>
          <w:rFonts w:hint="eastAsia" w:ascii="仿宋_GB2312" w:hAnsi="Times New Roman" w:eastAsia="仿宋_GB2312" w:cs="仿宋_GB2312"/>
          <w:kern w:val="0"/>
          <w:sz w:val="32"/>
          <w:szCs w:val="32"/>
          <w:lang w:val="en-US" w:eastAsia="zh-CN" w:bidi="ar"/>
        </w:rPr>
        <w:t>票可获得</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分，由社会大众对项目进行网络投票。</w:t>
      </w:r>
    </w:p>
    <w:p w14:paraId="7AB7DDC5">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最终根据评委打分和网络投票进行综合评分，择优选取</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个优秀项目（</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双百强）进入复赛。</w:t>
      </w:r>
    </w:p>
    <w:p w14:paraId="449D598D">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（三）复赛和评选百强（</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月，江门市）</w:t>
      </w:r>
    </w:p>
    <w:p w14:paraId="257A6446">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复赛阶段分为三个环节：</w:t>
      </w:r>
    </w:p>
    <w:p w14:paraId="495A1E88">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一是项目路演</w:t>
      </w:r>
      <w:r>
        <w:rPr>
          <w:rFonts w:hint="eastAsia" w:ascii="仿宋_GB2312" w:hAnsi="Times New Roman" w:eastAsia="仿宋_GB2312" w:cs="仿宋_GB2312"/>
          <w:kern w:val="0"/>
          <w:sz w:val="32"/>
          <w:szCs w:val="32"/>
          <w:lang w:val="en-US" w:eastAsia="zh-CN" w:bidi="ar"/>
        </w:rPr>
        <w:t>。由参赛主体在现场就本项目技术（设计）方案和产品进行讲解，重点讲解项目的技术先进性、技术重要性、技术可替代性、市场规模及前景、市场竞争力、申请文件质量、专利布局等。</w:t>
      </w:r>
    </w:p>
    <w:p w14:paraId="61F5EF58">
      <w:pPr>
        <w:keepNext w:val="0"/>
        <w:keepLines w:val="0"/>
        <w:widowControl w:val="0"/>
        <w:suppressLineNumbers w:val="0"/>
        <w:adjustRightInd w:val="0"/>
        <w:snapToGrid w:val="0"/>
        <w:spacing w:before="0" w:beforeAutospacing="0" w:after="0" w:afterAutospacing="0" w:line="590" w:lineRule="exact"/>
        <w:ind w:left="0" w:right="0" w:firstLine="63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二是分析评议</w:t>
      </w:r>
      <w:r>
        <w:rPr>
          <w:rFonts w:hint="eastAsia" w:ascii="仿宋_GB2312" w:hAnsi="Times New Roman" w:eastAsia="仿宋_GB2312" w:cs="仿宋_GB2312"/>
          <w:kern w:val="0"/>
          <w:sz w:val="32"/>
          <w:szCs w:val="32"/>
          <w:lang w:val="en-US" w:eastAsia="zh-CN" w:bidi="ar"/>
        </w:rPr>
        <w:t>。分析评议报告不要求为服务机构出具，可由参赛主体自行撰写。分析评议报告包含但不限于行业专利竞争态势、行业技术发展趋势、项目已布局专利的撰写质量、布局情况、存在问题等，重点对项目的专利布局情况进行详细分析并发现问题，经论证专利组合无需新布局者，应论证其布局周密性。如需新布局者，应在决赛前布局，并提交新布局申请号及申请文件。参赛团队现场讲解该分析评议报告，该报告影响法律层面及布局层面评分。</w:t>
      </w:r>
    </w:p>
    <w:p w14:paraId="3AFAE9E1">
      <w:pPr>
        <w:keepNext w:val="0"/>
        <w:keepLines w:val="0"/>
        <w:widowControl w:val="0"/>
        <w:suppressLineNumbers w:val="0"/>
        <w:adjustRightInd w:val="0"/>
        <w:snapToGrid w:val="0"/>
        <w:spacing w:before="0" w:beforeAutospacing="0" w:after="0" w:afterAutospacing="0" w:line="590" w:lineRule="exact"/>
        <w:ind w:left="0" w:right="0" w:firstLine="630" w:firstLineChars="19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三是点评互动。</w:t>
      </w:r>
      <w:r>
        <w:rPr>
          <w:rFonts w:hint="eastAsia" w:ascii="仿宋_GB2312" w:hAnsi="Times New Roman" w:eastAsia="仿宋_GB2312" w:cs="仿宋_GB2312"/>
          <w:kern w:val="0"/>
          <w:sz w:val="32"/>
          <w:szCs w:val="32"/>
          <w:lang w:val="en-US" w:eastAsia="zh-CN" w:bidi="ar"/>
        </w:rPr>
        <w:t>由评委与参赛队伍进行互动交流，并由评委进行现场点评打分。</w:t>
      </w:r>
    </w:p>
    <w:p w14:paraId="3B37B6CA">
      <w:pPr>
        <w:keepNext w:val="0"/>
        <w:keepLines w:val="0"/>
        <w:widowControl w:val="0"/>
        <w:suppressLineNumbers w:val="0"/>
        <w:adjustRightIn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根据最终评委打分成绩，择优选取</w:t>
      </w:r>
      <w:r>
        <w:rPr>
          <w:rFonts w:hint="default" w:ascii="Times New Roman" w:hAnsi="Times New Roman" w:eastAsia="仿宋_GB2312" w:cs="Times New Roman"/>
          <w:kern w:val="0"/>
          <w:sz w:val="32"/>
          <w:szCs w:val="32"/>
          <w:lang w:val="en-US" w:eastAsia="zh-CN" w:bidi="ar"/>
        </w:rPr>
        <w:t>100</w:t>
      </w:r>
      <w:r>
        <w:rPr>
          <w:rFonts w:hint="eastAsia" w:ascii="仿宋_GB2312" w:hAnsi="Times New Roman" w:eastAsia="仿宋_GB2312" w:cs="仿宋_GB2312"/>
          <w:kern w:val="0"/>
          <w:sz w:val="32"/>
          <w:szCs w:val="32"/>
          <w:lang w:val="en-US" w:eastAsia="zh-CN" w:bidi="ar"/>
        </w:rPr>
        <w:t>个优秀项目（</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百强）进入决赛。</w:t>
      </w:r>
    </w:p>
    <w:p w14:paraId="2E662B0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复赛现场将邀请投融资机构、产业园区等机构组成的观摩团现场观看项目路演，进一步推进优秀项目的成果转化运用。</w:t>
      </w:r>
    </w:p>
    <w:p w14:paraId="204B6A7C">
      <w:pPr>
        <w:keepNext w:val="0"/>
        <w:keepLines w:val="0"/>
        <w:widowControl w:val="0"/>
        <w:suppressLineNumbers w:val="0"/>
        <w:adjustRightInd w:val="0"/>
        <w:spacing w:before="0" w:beforeAutospacing="0" w:after="0" w:afterAutospacing="0" w:line="590" w:lineRule="exact"/>
        <w:ind w:left="0" w:right="0" w:firstLine="640" w:firstLineChars="200"/>
        <w:jc w:val="both"/>
        <w:outlineLvl w:val="1"/>
        <w:rPr>
          <w:rFonts w:hint="default"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（四）项目对接会（</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10</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月，江门市以及大湾区相关地市）</w:t>
      </w:r>
    </w:p>
    <w:p w14:paraId="206F0983">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宋体" w:hAnsi="Courier New" w:eastAsia="仿宋_GB2312" w:cs="宋体"/>
          <w:kern w:val="2"/>
          <w:sz w:val="32"/>
          <w:szCs w:val="32"/>
          <w:lang w:val="en-US" w:eastAsia="zh-CN" w:bidi="ar"/>
        </w:rPr>
        <w:t>大赛</w:t>
      </w:r>
      <w:r>
        <w:rPr>
          <w:rFonts w:hint="eastAsia" w:ascii="仿宋_GB2312" w:hAnsi="Courier New" w:eastAsia="仿宋_GB2312" w:cs="仿宋_GB2312"/>
          <w:kern w:val="2"/>
          <w:sz w:val="32"/>
          <w:szCs w:val="32"/>
          <w:lang w:val="en-US" w:eastAsia="zh-CN" w:bidi="ar"/>
        </w:rPr>
        <w:t>组织开展一</w:t>
      </w:r>
      <w:r>
        <w:rPr>
          <w:rFonts w:hint="eastAsia" w:ascii="宋体" w:hAnsi="Courier New" w:eastAsia="仿宋_GB2312" w:cs="宋体"/>
          <w:kern w:val="2"/>
          <w:sz w:val="32"/>
          <w:szCs w:val="32"/>
          <w:lang w:val="en-US" w:eastAsia="zh-CN" w:bidi="ar"/>
        </w:rPr>
        <w:t>系列</w:t>
      </w:r>
      <w:r>
        <w:rPr>
          <w:rFonts w:hint="eastAsia" w:ascii="仿宋_GB2312" w:hAnsi="Courier New" w:eastAsia="仿宋_GB2312" w:cs="仿宋_GB2312"/>
          <w:kern w:val="2"/>
          <w:sz w:val="32"/>
          <w:szCs w:val="32"/>
          <w:lang w:val="en-US" w:eastAsia="zh-CN" w:bidi="ar"/>
        </w:rPr>
        <w:t>对接活动，邀请参赛项目与相关部门、产业园区、上下游企业、投融资机构、服务机构</w:t>
      </w:r>
      <w:r>
        <w:rPr>
          <w:rFonts w:hint="eastAsia" w:ascii="宋体" w:hAnsi="Courier New" w:eastAsia="仿宋_GB2312" w:cs="宋体"/>
          <w:kern w:val="2"/>
          <w:sz w:val="32"/>
          <w:szCs w:val="32"/>
          <w:lang w:val="en-US" w:eastAsia="zh-CN" w:bidi="ar"/>
        </w:rPr>
        <w:t>等</w:t>
      </w:r>
      <w:r>
        <w:rPr>
          <w:rFonts w:hint="eastAsia" w:ascii="仿宋_GB2312" w:hAnsi="Courier New" w:eastAsia="仿宋_GB2312" w:cs="仿宋_GB2312"/>
          <w:kern w:val="2"/>
          <w:sz w:val="32"/>
          <w:szCs w:val="32"/>
          <w:lang w:val="en-US" w:eastAsia="zh-CN" w:bidi="ar"/>
        </w:rPr>
        <w:t>进行精准对接。同时设立高校科院项目专区，针对高价值专利匹配</w:t>
      </w:r>
      <w:r>
        <w:rPr>
          <w:rFonts w:hint="eastAsia" w:ascii="宋体" w:hAnsi="Courier New" w:eastAsia="仿宋_GB2312" w:cs="宋体"/>
          <w:kern w:val="2"/>
          <w:sz w:val="32"/>
          <w:szCs w:val="32"/>
          <w:lang w:val="en-US" w:eastAsia="zh-CN" w:bidi="ar"/>
        </w:rPr>
        <w:t>运营</w:t>
      </w:r>
      <w:r>
        <w:rPr>
          <w:rFonts w:hint="eastAsia" w:ascii="仿宋_GB2312" w:hAnsi="Courier New" w:eastAsia="仿宋_GB2312" w:cs="仿宋_GB2312"/>
          <w:kern w:val="2"/>
          <w:sz w:val="32"/>
          <w:szCs w:val="32"/>
          <w:lang w:val="en-US" w:eastAsia="zh-CN" w:bidi="ar"/>
        </w:rPr>
        <w:t>服务、</w:t>
      </w:r>
      <w:r>
        <w:rPr>
          <w:rFonts w:hint="eastAsia" w:ascii="宋体" w:hAnsi="Courier New" w:eastAsia="仿宋_GB2312" w:cs="宋体"/>
          <w:kern w:val="2"/>
          <w:sz w:val="32"/>
          <w:szCs w:val="32"/>
          <w:lang w:val="en-US" w:eastAsia="zh-CN" w:bidi="ar"/>
        </w:rPr>
        <w:t>产业化、</w:t>
      </w:r>
      <w:r>
        <w:rPr>
          <w:rFonts w:hint="eastAsia" w:ascii="仿宋_GB2312" w:hAnsi="Courier New" w:eastAsia="仿宋_GB2312" w:cs="仿宋_GB2312"/>
          <w:kern w:val="2"/>
          <w:sz w:val="32"/>
          <w:szCs w:val="32"/>
          <w:lang w:val="en-US" w:eastAsia="zh-CN" w:bidi="ar"/>
        </w:rPr>
        <w:t>资本等优质资源，助力高校和科研机构存量专利盘活与产业化。对于在对接活动中展现出合作意向的优质项目，将启动一</w:t>
      </w:r>
      <w:r>
        <w:rPr>
          <w:rFonts w:hint="eastAsia" w:ascii="仿宋_GB2312" w:hAnsi="Times New Roman" w:eastAsia="仿宋_GB2312" w:cs="仿宋_GB2312"/>
          <w:kern w:val="0"/>
          <w:sz w:val="32"/>
          <w:szCs w:val="32"/>
          <w:lang w:val="en-US" w:eastAsia="zh-CN" w:bidi="ar"/>
        </w:rPr>
        <w:t>对一的深度跟踪服务机制。项目对接落地转移转化和投融资意向协议签订情况，在决赛评选中占一定权重。</w:t>
      </w:r>
    </w:p>
    <w:p w14:paraId="706CDC40">
      <w:pPr>
        <w:pStyle w:val="4"/>
        <w:keepNext w:val="0"/>
        <w:keepLines w:val="0"/>
        <w:widowControl w:val="0"/>
        <w:suppressLineNumbers w:val="0"/>
        <w:spacing w:before="0" w:beforeAutospacing="0" w:after="0" w:afterAutospacing="0" w:line="590" w:lineRule="exact"/>
        <w:ind w:left="0" w:right="0" w:firstLine="640" w:firstLineChars="200"/>
        <w:jc w:val="both"/>
        <w:rPr>
          <w:rFonts w:hint="eastAsia" w:ascii="Times New Roman" w:hAnsi="Times New Roman" w:eastAsia="楷体_GB2312" w:cs="Times New Roman"/>
          <w:kern w:val="0"/>
          <w:sz w:val="32"/>
          <w:szCs w:val="32"/>
          <w:lang w:val="en-US" w:eastAsia="zh-CN" w:bidi="ar"/>
        </w:rPr>
      </w:pPr>
      <w:r>
        <w:rPr>
          <w:rFonts w:hint="eastAsia" w:ascii="Times New Roman" w:hAnsi="Times New Roman" w:eastAsia="楷体_GB2312" w:cs="Times New Roman"/>
          <w:kern w:val="0"/>
          <w:sz w:val="32"/>
          <w:szCs w:val="32"/>
          <w:lang w:val="en-US" w:eastAsia="zh-CN" w:bidi="ar"/>
        </w:rPr>
        <w:t>（五）决赛评选金奖、银奖、优秀奖项目（</w:t>
      </w:r>
      <w:r>
        <w:rPr>
          <w:rFonts w:hint="default" w:ascii="Times New Roman" w:hAnsi="Times New Roman" w:eastAsia="楷体_GB2312" w:cs="Times New Roman"/>
          <w:kern w:val="0"/>
          <w:sz w:val="32"/>
          <w:szCs w:val="32"/>
          <w:lang w:val="en-US" w:eastAsia="zh-CN" w:bidi="ar"/>
        </w:rPr>
        <w:t>2024</w:t>
      </w:r>
      <w:r>
        <w:rPr>
          <w:rFonts w:hint="eastAsia" w:ascii="Times New Roman" w:hAnsi="Times New Roman" w:eastAsia="楷体_GB2312" w:cs="Times New Roman"/>
          <w:kern w:val="0"/>
          <w:sz w:val="32"/>
          <w:szCs w:val="32"/>
          <w:lang w:val="en-US" w:eastAsia="zh-CN" w:bidi="ar"/>
        </w:rPr>
        <w:t>年</w:t>
      </w:r>
      <w:r>
        <w:rPr>
          <w:rFonts w:hint="default" w:ascii="Times New Roman" w:hAnsi="Times New Roman" w:eastAsia="楷体_GB2312" w:cs="Times New Roman"/>
          <w:kern w:val="0"/>
          <w:sz w:val="32"/>
          <w:szCs w:val="32"/>
          <w:lang w:val="en-US" w:eastAsia="zh-CN" w:bidi="ar"/>
        </w:rPr>
        <w:t>11</w:t>
      </w:r>
      <w:r>
        <w:rPr>
          <w:rFonts w:hint="eastAsia" w:ascii="Times New Roman" w:hAnsi="Times New Roman" w:eastAsia="楷体_GB2312" w:cs="Times New Roman"/>
          <w:kern w:val="0"/>
          <w:sz w:val="32"/>
          <w:szCs w:val="32"/>
          <w:lang w:val="en-US" w:eastAsia="zh-CN" w:bidi="ar"/>
        </w:rPr>
        <w:t>月</w:t>
      </w:r>
      <w:r>
        <w:rPr>
          <w:rFonts w:hint="default" w:ascii="Times New Roman" w:hAnsi="Times New Roman" w:eastAsia="楷体_GB2312" w:cs="Times New Roman"/>
          <w:kern w:val="0"/>
          <w:sz w:val="32"/>
          <w:szCs w:val="32"/>
          <w:lang w:val="en-US" w:eastAsia="zh-CN" w:bidi="ar"/>
        </w:rPr>
        <w:t>—12</w:t>
      </w:r>
      <w:r>
        <w:rPr>
          <w:rFonts w:hint="eastAsia" w:ascii="Times New Roman" w:hAnsi="Times New Roman" w:eastAsia="楷体_GB2312" w:cs="Times New Roman"/>
          <w:kern w:val="0"/>
          <w:sz w:val="32"/>
          <w:szCs w:val="32"/>
          <w:lang w:val="en-US" w:eastAsia="zh-CN" w:bidi="ar"/>
        </w:rPr>
        <w:t>月，江门市）</w:t>
      </w:r>
    </w:p>
    <w:p w14:paraId="26F77937">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决赛采取项目现场路演、答辩环节、评委打分三个环节，其中：</w:t>
      </w:r>
    </w:p>
    <w:p w14:paraId="33DD4850">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一是项目路演</w:t>
      </w:r>
      <w:r>
        <w:rPr>
          <w:rFonts w:hint="eastAsia" w:ascii="仿宋_GB2312" w:hAnsi="Times New Roman" w:eastAsia="仿宋_GB2312" w:cs="仿宋_GB2312"/>
          <w:kern w:val="0"/>
          <w:sz w:val="32"/>
          <w:szCs w:val="32"/>
          <w:lang w:val="en-US" w:eastAsia="zh-CN" w:bidi="ar"/>
        </w:rPr>
        <w:t>。重点包括：通过现场展示和讲解的方式，对项目的技术先进性、商业规模及执行团队和配套资源支持进行阐述，并针对企业发展战略重点论述在大赛期间进行的高价值专利培育和布局的思路、方法，布局的专利数量、类型和质量，项目海外布局申请、产品关联度、标准相关性、针对竞争对手情况，以及培育流程规范和培育创新方法，并根据需要提交新布局专利申请号及申请文件。</w:t>
      </w:r>
    </w:p>
    <w:p w14:paraId="02CBC380">
      <w:pPr>
        <w:keepNext w:val="0"/>
        <w:keepLines w:val="0"/>
        <w:widowControl w:val="0"/>
        <w:suppressLineNumbers w:val="0"/>
        <w:adjustRightInd w:val="0"/>
        <w:snapToGri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二是答辩环节</w:t>
      </w:r>
      <w:r>
        <w:rPr>
          <w:rFonts w:hint="eastAsia" w:ascii="仿宋_GB2312" w:hAnsi="Times New Roman" w:eastAsia="仿宋_GB2312" w:cs="仿宋_GB2312"/>
          <w:kern w:val="0"/>
          <w:sz w:val="32"/>
          <w:szCs w:val="32"/>
          <w:lang w:val="en-US" w:eastAsia="zh-CN" w:bidi="ar"/>
        </w:rPr>
        <w:t>。由评审专家对路演项目中的技术、市场、战略、专利培育与布局等内容进行提问，路演项目的参赛主体进行答辩。</w:t>
      </w:r>
    </w:p>
    <w:p w14:paraId="7D7305B2">
      <w:pPr>
        <w:keepNext w:val="0"/>
        <w:keepLines w:val="0"/>
        <w:widowControl w:val="0"/>
        <w:suppressLineNumbers w:val="0"/>
        <w:adjustRightInd w:val="0"/>
        <w:snapToGrid w:val="0"/>
        <w:spacing w:before="0" w:beforeAutospacing="0" w:after="0" w:afterAutospacing="0" w:line="590" w:lineRule="exact"/>
        <w:ind w:left="0" w:right="0" w:firstLine="556"/>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三是评委打分环节</w:t>
      </w:r>
      <w:r>
        <w:rPr>
          <w:rFonts w:hint="eastAsia" w:ascii="仿宋_GB2312" w:hAnsi="Times New Roman" w:eastAsia="仿宋_GB2312" w:cs="仿宋_GB2312"/>
          <w:kern w:val="0"/>
          <w:sz w:val="32"/>
          <w:szCs w:val="32"/>
          <w:lang w:val="en-US" w:eastAsia="zh-CN" w:bidi="ar"/>
        </w:rPr>
        <w:t>。由评委对项目进行点评、提出指导建议并进行打分。</w:t>
      </w:r>
    </w:p>
    <w:p w14:paraId="1DB38634">
      <w:pPr>
        <w:pStyle w:val="4"/>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lang w:val="en-US" w:eastAsia="zh-CN" w:bidi="ar"/>
        </w:rPr>
        <w:t>根据项目最终得分，择优评选出金奖、银奖和优秀奖共</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项。</w:t>
      </w:r>
    </w:p>
    <w:p w14:paraId="2C00AC49">
      <w:pPr>
        <w:keepNext w:val="0"/>
        <w:keepLines w:val="0"/>
        <w:widowControl w:val="0"/>
        <w:suppressLineNumbers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七、专家评委</w:t>
      </w:r>
    </w:p>
    <w:p w14:paraId="7F0AD438">
      <w:pPr>
        <w:keepNext w:val="0"/>
        <w:keepLines w:val="0"/>
        <w:widowControl w:val="0"/>
        <w:suppressLineNumbers w:val="0"/>
        <w:adjustRightIn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大赛将邀请政府管理部门、投资机构、评估机构、运营机构、企业家和相关知识产权领域专家广泛参与，同时根据《湾高赛评审专家遴选办法》选定各赛程不同环节的评审专家。</w:t>
      </w:r>
    </w:p>
    <w:p w14:paraId="7A75660E">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初赛环节（评选双百强）</w:t>
      </w:r>
      <w:r>
        <w:rPr>
          <w:rFonts w:hint="eastAsia" w:ascii="仿宋_GB2312" w:hAnsi="Times New Roman" w:eastAsia="仿宋_GB2312" w:cs="仿宋_GB2312"/>
          <w:kern w:val="0"/>
          <w:sz w:val="32"/>
          <w:szCs w:val="32"/>
          <w:lang w:val="en-US" w:eastAsia="zh-CN" w:bidi="ar"/>
        </w:rPr>
        <w:t>，专家评委包括技术专家（按产业划分）、专利代理师、企事业单位知识产权管理专家、专利分析和信息利用专家、知识产权评估运营专家等。</w:t>
      </w:r>
    </w:p>
    <w:p w14:paraId="15FE0531">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复赛环节（评选百强）</w:t>
      </w:r>
      <w:r>
        <w:rPr>
          <w:rFonts w:hint="eastAsia" w:ascii="仿宋_GB2312" w:hAnsi="Times New Roman" w:eastAsia="仿宋_GB2312" w:cs="仿宋_GB2312"/>
          <w:kern w:val="0"/>
          <w:sz w:val="32"/>
          <w:szCs w:val="32"/>
          <w:lang w:val="en-US" w:eastAsia="zh-CN" w:bidi="ar"/>
        </w:rPr>
        <w:t>，专家评委包括技术专家（按产业划分）、专利代理师、企事业单位知识产权管理专家、专利分析和信息利用专家、知识产权运营专家、投融资机构专家等。</w:t>
      </w:r>
    </w:p>
    <w:p w14:paraId="10679BC2">
      <w:pPr>
        <w:keepNext w:val="0"/>
        <w:keepLines w:val="0"/>
        <w:widowControl w:val="0"/>
        <w:suppressLineNumbers w:val="0"/>
        <w:adjustRightInd w:val="0"/>
        <w:spacing w:before="0" w:beforeAutospacing="0" w:after="0" w:afterAutospacing="0" w:line="590" w:lineRule="exact"/>
        <w:ind w:left="0" w:right="0" w:firstLine="643"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b/>
          <w:kern w:val="0"/>
          <w:sz w:val="32"/>
          <w:szCs w:val="32"/>
          <w:lang w:val="en-US" w:eastAsia="zh-CN" w:bidi="ar"/>
        </w:rPr>
        <w:t>决赛环节（评选金奖、银奖、优秀奖）</w:t>
      </w:r>
      <w:r>
        <w:rPr>
          <w:rFonts w:hint="eastAsia" w:ascii="仿宋_GB2312" w:hAnsi="Times New Roman" w:eastAsia="仿宋_GB2312" w:cs="仿宋_GB2312"/>
          <w:kern w:val="0"/>
          <w:sz w:val="32"/>
          <w:szCs w:val="32"/>
          <w:lang w:val="en-US" w:eastAsia="zh-CN" w:bidi="ar"/>
        </w:rPr>
        <w:t>，专家评委包括技术专家（按产业划分）、投融资专家、资深评估师、企业家、知识产权运营专家、专利代理师、专利分析和信息利用专家等，同时组织知识产权评估专业机构对进入的决赛项目进行专利组合资产评估。</w:t>
      </w:r>
    </w:p>
    <w:p w14:paraId="7DAD0F4D">
      <w:pPr>
        <w:keepNext w:val="0"/>
        <w:keepLines w:val="0"/>
        <w:widowControl w:val="0"/>
        <w:suppressLineNumbers w:val="0"/>
        <w:adjustRightInd w:val="0"/>
        <w:snapToGrid w:val="0"/>
        <w:spacing w:before="0" w:beforeAutospacing="0" w:after="0" w:afterAutospacing="0" w:line="590" w:lineRule="exact"/>
        <w:ind w:left="0" w:right="0" w:firstLine="555"/>
        <w:jc w:val="both"/>
        <w:outlineLvl w:val="0"/>
        <w:rPr>
          <w:rFonts w:hint="eastAsia" w:ascii="仿宋_GB2312" w:eastAsia="仿宋_GB2312" w:cs="仿宋_GB2312"/>
          <w:kern w:val="0"/>
          <w:sz w:val="32"/>
          <w:szCs w:val="32"/>
        </w:rPr>
      </w:pPr>
      <w:r>
        <w:rPr>
          <w:rFonts w:hint="eastAsia" w:ascii="黑体" w:hAnsi="宋体" w:eastAsia="黑体" w:cs="黑体"/>
          <w:kern w:val="0"/>
          <w:sz w:val="32"/>
          <w:szCs w:val="32"/>
          <w:lang w:val="en-US" w:eastAsia="zh-CN" w:bidi="ar"/>
        </w:rPr>
        <w:t>八、成果运用</w:t>
      </w:r>
    </w:p>
    <w:p w14:paraId="0699BF0D">
      <w:pPr>
        <w:keepNext w:val="0"/>
        <w:keepLines w:val="0"/>
        <w:widowControl w:val="0"/>
        <w:suppressLineNumbers w:val="0"/>
        <w:adjustRightInd w:val="0"/>
        <w:snapToGrid w:val="0"/>
        <w:spacing w:before="0" w:beforeAutospacing="0" w:after="0" w:afterAutospacing="0" w:line="590" w:lineRule="exact"/>
        <w:ind w:left="0" w:right="0" w:firstLine="555" w:firstLineChars="0"/>
        <w:jc w:val="both"/>
        <w:outlineLvl w:val="0"/>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一）对于有在大湾区落地转化意向的参赛项目，可根据实际情况享受主办地江门市人民政府以及大湾区内地八市人民政府有关创新创业、成果转化、招商引资、人才引进、知识产权等落地转化实施优惠政策。鼓励支持各地市积极出台政策，吸引优秀</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项目落地转化实施。</w:t>
      </w:r>
    </w:p>
    <w:p w14:paraId="637B33AB">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对省内优秀项目，若开展知识产权质押融资、保险和证券化意愿的，由相关市市场监管局积极予以支持，提供便利化服务。</w:t>
      </w:r>
    </w:p>
    <w:p w14:paraId="1561E0C7">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i w:val="0"/>
          <w:caps w:val="0"/>
          <w:spacing w:val="0"/>
          <w:kern w:val="0"/>
          <w:sz w:val="32"/>
          <w:szCs w:val="32"/>
        </w:rPr>
      </w:pPr>
      <w:r>
        <w:rPr>
          <w:rFonts w:hint="eastAsia" w:ascii="仿宋_GB2312" w:hAnsi="Times New Roman"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优先推荐获得</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百强的中小企业加入国家</w:t>
      </w:r>
      <w:r>
        <w:rPr>
          <w:rFonts w:hint="eastAsia" w:ascii="仿宋_GB2312" w:hAnsi="Times New Roman" w:eastAsia="仿宋_GB2312" w:cs="仿宋_GB2312"/>
          <w:i w:val="0"/>
          <w:caps w:val="0"/>
          <w:spacing w:val="0"/>
          <w:kern w:val="0"/>
          <w:sz w:val="32"/>
          <w:szCs w:val="32"/>
          <w:lang w:val="en-US" w:eastAsia="zh-CN" w:bidi="ar"/>
        </w:rPr>
        <w:t>专利产业化样板企业培育库。</w:t>
      </w:r>
    </w:p>
    <w:p w14:paraId="739B5B6D">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（三）</w:t>
      </w:r>
      <w:r>
        <w:rPr>
          <w:rFonts w:hint="eastAsia" w:ascii="仿宋_GB2312" w:hAnsi="Times New Roman" w:eastAsia="仿宋_GB2312" w:cs="仿宋_GB2312"/>
          <w:kern w:val="0"/>
          <w:sz w:val="32"/>
          <w:szCs w:val="32"/>
          <w:lang w:val="en-US" w:eastAsia="zh-CN" w:bidi="ar"/>
        </w:rPr>
        <w:t>依托广东省战略性产业集群知识产权协同运营中心、重点园区知识产权综合运营服务中心资源优势，为参赛项目知识产权运营、落地转化提供支撑服务。</w:t>
      </w:r>
    </w:p>
    <w:p w14:paraId="036FE19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（四）</w:t>
      </w:r>
      <w:r>
        <w:rPr>
          <w:rFonts w:hint="eastAsia" w:ascii="仿宋_GB2312" w:hAnsi="Times New Roman" w:eastAsia="仿宋_GB2312" w:cs="仿宋_GB2312"/>
          <w:kern w:val="0"/>
          <w:sz w:val="32"/>
          <w:szCs w:val="32"/>
          <w:lang w:val="en-US" w:eastAsia="zh-CN" w:bidi="ar"/>
        </w:rPr>
        <w:t>主办地江门市充分</w:t>
      </w:r>
      <w:r>
        <w:rPr>
          <w:rFonts w:hint="eastAsia" w:ascii="仿宋_GB2312" w:hAnsi="Times New Roman" w:eastAsia="仿宋_GB2312" w:cs="仿宋_GB2312"/>
          <w:kern w:val="2"/>
          <w:sz w:val="32"/>
          <w:szCs w:val="32"/>
          <w:lang w:val="en-US" w:eastAsia="zh-CN" w:bidi="ar"/>
        </w:rPr>
        <w:t>发挥</w:t>
      </w:r>
      <w:r>
        <w:rPr>
          <w:rFonts w:hint="eastAsia" w:ascii="仿宋_GB2312" w:hAnsi="Times New Roman" w:eastAsia="仿宋_GB2312" w:cs="仿宋_GB2312"/>
          <w:kern w:val="0"/>
          <w:sz w:val="32"/>
          <w:szCs w:val="32"/>
          <w:lang w:val="en-US" w:eastAsia="zh-CN" w:bidi="ar"/>
        </w:rPr>
        <w:t>区域</w:t>
      </w:r>
      <w:r>
        <w:rPr>
          <w:rFonts w:hint="eastAsia" w:ascii="仿宋_GB2312" w:hAnsi="Times New Roman" w:eastAsia="仿宋_GB2312" w:cs="仿宋_GB2312"/>
          <w:kern w:val="2"/>
          <w:sz w:val="32"/>
          <w:szCs w:val="32"/>
          <w:lang w:val="en-US" w:eastAsia="zh-CN" w:bidi="ar"/>
        </w:rPr>
        <w:t>优势，利用好本地知识产权运营平台、园区等为参赛项目提供专利成果运营、落地转化相关资源对接服务。</w:t>
      </w:r>
    </w:p>
    <w:p w14:paraId="7C5CA426">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（五）</w:t>
      </w:r>
      <w:r>
        <w:rPr>
          <w:rFonts w:hint="eastAsia" w:ascii="仿宋_GB2312" w:hAnsi="Times New Roman" w:eastAsia="仿宋_GB2312" w:cs="仿宋_GB2312"/>
          <w:color w:val="0000FF"/>
          <w:kern w:val="0"/>
          <w:sz w:val="32"/>
          <w:szCs w:val="32"/>
          <w:lang w:val="en-US" w:eastAsia="zh-CN" w:bidi="ar"/>
        </w:rPr>
        <w:t>对于决赛获奖的广东省内项目，其参赛核心专利可由各市市场监管局推荐参评广东专利奖，不占推荐名额</w:t>
      </w:r>
      <w:r>
        <w:rPr>
          <w:rFonts w:hint="eastAsia" w:ascii="仿宋_GB2312" w:hAnsi="Times New Roman" w:eastAsia="仿宋_GB2312" w:cs="仿宋_GB2312"/>
          <w:kern w:val="0"/>
          <w:sz w:val="32"/>
          <w:szCs w:val="32"/>
          <w:lang w:val="en-US" w:eastAsia="zh-CN" w:bidi="ar"/>
        </w:rPr>
        <w:t>。</w:t>
      </w:r>
    </w:p>
    <w:p w14:paraId="2EF308C0">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（六）</w:t>
      </w:r>
      <w:r>
        <w:rPr>
          <w:rFonts w:hint="eastAsia" w:ascii="仿宋_GB2312" w:hAnsi="Times New Roman" w:eastAsia="仿宋_GB2312" w:cs="仿宋_GB2312"/>
          <w:kern w:val="0"/>
          <w:sz w:val="32"/>
          <w:szCs w:val="32"/>
          <w:lang w:val="en-US" w:eastAsia="zh-CN" w:bidi="ar"/>
        </w:rPr>
        <w:t>对于大赛获奖的项目，参赛主体可以在其专利产品上标注</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名称、</w:t>
      </w:r>
      <w:r>
        <w:rPr>
          <w:rFonts w:hint="default" w:ascii="Times New Roman" w:hAnsi="Times New Roman" w:eastAsia="仿宋_GB2312" w:cs="Times New Roman"/>
          <w:kern w:val="0"/>
          <w:sz w:val="32"/>
          <w:szCs w:val="32"/>
          <w:lang w:val="en-US" w:eastAsia="zh-CN" w:bidi="ar"/>
        </w:rPr>
        <w:t>LOGO</w:t>
      </w:r>
      <w:r>
        <w:rPr>
          <w:rFonts w:hint="eastAsia" w:ascii="仿宋_GB2312" w:hAnsi="Times New Roman" w:eastAsia="仿宋_GB2312" w:cs="仿宋_GB2312"/>
          <w:kern w:val="0"/>
          <w:sz w:val="32"/>
          <w:szCs w:val="32"/>
          <w:lang w:val="en-US" w:eastAsia="zh-CN" w:bidi="ar"/>
        </w:rPr>
        <w:t>及包含届次在内的规范奖项名称。</w:t>
      </w:r>
    </w:p>
    <w:p w14:paraId="508CAEEE">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（七）</w:t>
      </w:r>
      <w:r>
        <w:rPr>
          <w:rFonts w:hint="eastAsia" w:ascii="仿宋_GB2312" w:hAnsi="Times New Roman" w:eastAsia="仿宋_GB2312" w:cs="仿宋_GB2312"/>
          <w:kern w:val="0"/>
          <w:sz w:val="32"/>
          <w:szCs w:val="32"/>
          <w:lang w:val="en-US" w:eastAsia="zh-CN" w:bidi="ar"/>
        </w:rPr>
        <w:t>参赛项目可免费参加大赛组织的各类对接会，与产业园区、服务机构、金融机构、资本市场等面对面对接交流，大赛举办方将为参赛团队提供创造、运营、保护等全方位支撑服务，助推参赛项目转化落地。</w:t>
      </w:r>
    </w:p>
    <w:p w14:paraId="2A430059">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（八）</w:t>
      </w:r>
      <w:r>
        <w:rPr>
          <w:rFonts w:hint="eastAsia" w:ascii="仿宋_GB2312" w:hAnsi="Times New Roman" w:eastAsia="仿宋_GB2312" w:cs="仿宋_GB2312"/>
          <w:kern w:val="0"/>
          <w:sz w:val="32"/>
          <w:szCs w:val="32"/>
          <w:lang w:val="en-US" w:eastAsia="zh-CN" w:bidi="ar"/>
        </w:rPr>
        <w:t>参赛项目专利数据将纳入湾高赛专利数字资产运营平台统一管理，建立高价值专利数据资源库、人工智能专利价值评估等，实现包括融资对接、招商推荐、创业辅导等全链条的专业服务，为参赛项目专利转移转化提供大数据平台，推动湾高赛参赛项目常态化落地转化。</w:t>
      </w:r>
    </w:p>
    <w:p w14:paraId="1547AC3D">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default" w:ascii="Times New Roman" w:hAnsi="Times New Roman" w:eastAsia="仿宋_GB2312" w:cs="Times New Roman"/>
          <w:kern w:val="0"/>
          <w:sz w:val="32"/>
          <w:szCs w:val="32"/>
        </w:rPr>
      </w:pPr>
      <w:r>
        <w:rPr>
          <w:rFonts w:hint="eastAsia" w:ascii="仿宋_GB2312" w:hAnsi="Times New Roman" w:cs="仿宋_GB2312"/>
          <w:kern w:val="0"/>
          <w:sz w:val="32"/>
          <w:szCs w:val="32"/>
          <w:lang w:val="en-US" w:eastAsia="zh-CN" w:bidi="ar"/>
        </w:rPr>
        <w:t>（九）</w:t>
      </w:r>
      <w:r>
        <w:rPr>
          <w:rFonts w:hint="eastAsia" w:ascii="仿宋_GB2312" w:hAnsi="Times New Roman" w:eastAsia="仿宋_GB2312" w:cs="仿宋_GB2312"/>
          <w:kern w:val="0"/>
          <w:sz w:val="32"/>
          <w:szCs w:val="32"/>
          <w:lang w:val="en-US" w:eastAsia="zh-CN" w:bidi="ar"/>
        </w:rPr>
        <w:t>建立</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高校科研院所相关项目专利转化运用资源库，对高价值专利匹配优质资源加快实现产业化，盘活资源，促进转化。</w:t>
      </w:r>
    </w:p>
    <w:p w14:paraId="1A2ECBC2">
      <w:pPr>
        <w:keepNext w:val="0"/>
        <w:keepLines w:val="0"/>
        <w:widowControl w:val="0"/>
        <w:numPr>
          <w:ilvl w:val="0"/>
          <w:numId w:val="0"/>
        </w:numPr>
        <w:suppressLineNumbers w:val="0"/>
        <w:tabs>
          <w:tab w:val="left" w:pos="0"/>
        </w:tabs>
        <w:adjustRightInd w:val="0"/>
        <w:snapToGrid w:val="0"/>
        <w:spacing w:before="0" w:beforeAutospacing="0" w:after="0" w:afterAutospacing="0" w:line="590" w:lineRule="exact"/>
        <w:ind w:right="0" w:rightChars="0" w:firstLine="640" w:firstLineChars="200"/>
        <w:jc w:val="both"/>
        <w:rPr>
          <w:rFonts w:hint="eastAsia" w:ascii="Times New Roman" w:hAnsi="Times New Roman" w:eastAsia="仿宋_GB2312" w:cs="Times New Roman"/>
          <w:kern w:val="0"/>
          <w:sz w:val="32"/>
          <w:szCs w:val="32"/>
        </w:rPr>
      </w:pPr>
      <w:r>
        <w:rPr>
          <w:rFonts w:hint="eastAsia" w:ascii="Times New Roman" w:hAnsi="Times New Roman" w:cs="Times New Roman"/>
          <w:kern w:val="0"/>
          <w:sz w:val="32"/>
          <w:szCs w:val="32"/>
          <w:lang w:val="en-US" w:eastAsia="zh-CN" w:bidi="ar"/>
        </w:rPr>
        <w:t>（十）</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百强的专精特新中小企业或高新技术企业可免费参加在资本市场学院举办的企业上市赋能</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强基</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系列培训。</w:t>
      </w:r>
    </w:p>
    <w:p w14:paraId="46668AF6">
      <w:pPr>
        <w:keepNext w:val="0"/>
        <w:keepLines w:val="0"/>
        <w:widowControl w:val="0"/>
        <w:suppressLineNumbers w:val="0"/>
        <w:adjustRightInd w:val="0"/>
        <w:snapToGrid w:val="0"/>
        <w:spacing w:before="0" w:beforeAutospacing="0" w:after="0" w:afterAutospacing="0" w:line="590" w:lineRule="exact"/>
        <w:ind w:left="0" w:right="0" w:firstLine="640" w:firstLineChars="200"/>
        <w:jc w:val="both"/>
        <w:outlineLvl w:val="0"/>
        <w:rPr>
          <w:rFonts w:hint="default" w:ascii="Times New Roman" w:hAnsi="Times New Roman" w:eastAsia="黑体" w:cs="Times New Roman"/>
          <w:kern w:val="0"/>
          <w:sz w:val="32"/>
          <w:szCs w:val="32"/>
        </w:rPr>
      </w:pPr>
      <w:r>
        <w:rPr>
          <w:rFonts w:hint="eastAsia" w:ascii="黑体" w:hAnsi="宋体" w:eastAsia="黑体" w:cs="黑体"/>
          <w:kern w:val="0"/>
          <w:sz w:val="32"/>
          <w:szCs w:val="32"/>
          <w:lang w:val="en-US" w:eastAsia="zh-CN" w:bidi="ar"/>
        </w:rPr>
        <w:t>九、媒体宣传</w:t>
      </w:r>
    </w:p>
    <w:p w14:paraId="613D91D6">
      <w:pPr>
        <w:keepNext w:val="0"/>
        <w:keepLines w:val="0"/>
        <w:widowControl w:val="0"/>
        <w:suppressLineNumbers w:val="0"/>
        <w:adjustRightInd w:val="0"/>
        <w:snapToGrid w:val="0"/>
        <w:spacing w:before="0" w:beforeAutospacing="0" w:after="0" w:afterAutospacing="0" w:line="590" w:lineRule="exact"/>
        <w:ind w:left="0" w:right="0" w:firstLine="555"/>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大赛将围绕每个活动环节，开展全方位、多角度、多层次、多媒体的立体宣传。在各大中央媒体、省级媒体、港澳媒体，中国知识产权报、中国知识产权资讯网、</w:t>
      </w:r>
      <w:r>
        <w:rPr>
          <w:rFonts w:hint="default" w:ascii="Times New Roman" w:hAnsi="Times New Roman" w:eastAsia="仿宋_GB2312" w:cs="Times New Roman"/>
          <w:kern w:val="2"/>
          <w:sz w:val="32"/>
          <w:szCs w:val="32"/>
          <w:lang w:val="en-US" w:eastAsia="zh-CN" w:bidi="ar"/>
        </w:rPr>
        <w:t>IPRdaily</w:t>
      </w:r>
      <w:r>
        <w:rPr>
          <w:rFonts w:hint="eastAsia" w:ascii="仿宋_GB2312" w:hAnsi="Times New Roman" w:eastAsia="仿宋_GB2312" w:cs="仿宋_GB2312"/>
          <w:kern w:val="2"/>
          <w:sz w:val="32"/>
          <w:szCs w:val="32"/>
          <w:lang w:val="en-US" w:eastAsia="zh-CN" w:bidi="ar"/>
        </w:rPr>
        <w:t>以及经济类专业媒体，广东市场监督管理局网站、湾高赛官网、湾高赛公众号等主办承办单位宣传渠道对大赛进行广泛宣传推广。</w:t>
      </w:r>
    </w:p>
    <w:p w14:paraId="2BEA5524">
      <w:pPr>
        <w:keepNext w:val="0"/>
        <w:keepLines w:val="0"/>
        <w:widowControl w:val="0"/>
        <w:suppressLineNumbers w:val="0"/>
        <w:spacing w:before="0" w:beforeAutospacing="0" w:after="0" w:afterAutospacing="0" w:line="59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将组织</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湾高赛</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双百强、百强及决赛获奖项目参与大赛巡讲及其他活动进行推介路演，大赛期间将组织相关媒体对决赛获奖项目进行重点宣传。</w:t>
      </w:r>
    </w:p>
    <w:p w14:paraId="3788D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5D0A1-5C56-47DE-8AFB-1CB63581A10B}"/>
  </w:font>
  <w:font w:name="Courier New">
    <w:panose1 w:val="02070309020205020404"/>
    <w:charset w:val="01"/>
    <w:family w:val="modern"/>
    <w:pitch w:val="default"/>
    <w:sig w:usb0="E0002AFF" w:usb1="C0007843" w:usb2="00000009" w:usb3="00000000" w:csb0="400001FF" w:csb1="FFFF0000"/>
    <w:embedRegular r:id="rId2" w:fontKey="{E9F4CC5C-9EED-43FA-9C07-7A90DB3AF4D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0A62FB8-3B6D-446D-8D12-3772BF97853E}"/>
  </w:font>
  <w:font w:name="仿宋_GB2312">
    <w:altName w:val="仿宋"/>
    <w:panose1 w:val="02010609030101010101"/>
    <w:charset w:val="86"/>
    <w:family w:val="modern"/>
    <w:pitch w:val="default"/>
    <w:sig w:usb0="00000000" w:usb1="00000000" w:usb2="00000000" w:usb3="00000000" w:csb0="00040000" w:csb1="00000000"/>
    <w:embedRegular r:id="rId4" w:fontKey="{B5372122-A1A3-45F4-89D8-BC29CE2CA787}"/>
  </w:font>
  <w:font w:name="方正小标宋简体">
    <w:panose1 w:val="02000000000000000000"/>
    <w:charset w:val="86"/>
    <w:family w:val="auto"/>
    <w:pitch w:val="default"/>
    <w:sig w:usb0="00000001" w:usb1="08000000" w:usb2="00000000" w:usb3="00000000" w:csb0="00040000" w:csb1="00000000"/>
    <w:embedRegular r:id="rId5" w:fontKey="{6084A116-4F6B-46BB-86A4-9A292519BC0B}"/>
  </w:font>
  <w:font w:name="楷体_GB2312">
    <w:altName w:val="楷体"/>
    <w:panose1 w:val="02010609030101010101"/>
    <w:charset w:val="86"/>
    <w:family w:val="auto"/>
    <w:pitch w:val="default"/>
    <w:sig w:usb0="00000000" w:usb1="00000000" w:usb2="00000000" w:usb3="00000000" w:csb0="00040000" w:csb1="00000000"/>
    <w:embedRegular r:id="rId6" w:fontKey="{B81B4D12-72BF-4D22-B2F6-935CF94D05F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414FD"/>
    <w:multiLevelType w:val="multilevel"/>
    <w:tmpl w:val="F4F414FD"/>
    <w:lvl w:ilvl="0" w:tentative="0">
      <w:start w:val="1"/>
      <w:numFmt w:val="decimal"/>
      <w:suff w:val="nothing"/>
      <w:lvlText w:val="%1．"/>
      <w:lvlJc w:val="left"/>
      <w:pPr>
        <w:tabs>
          <w:tab w:val="left" w:pos="0"/>
        </w:tabs>
        <w:ind w:left="0" w:firstLine="400"/>
      </w:pPr>
      <w:rPr>
        <w:rFonts w:hint="default" w:ascii="Times New Roman" w:hAnsi="Times New Roman" w:cs="Times New Roman"/>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A48FA7E"/>
    <w:multiLevelType w:val="multilevel"/>
    <w:tmpl w:val="FA48FA7E"/>
    <w:lvl w:ilvl="0" w:tentative="0">
      <w:start w:val="1"/>
      <w:numFmt w:val="decimal"/>
      <w:suff w:val="nothing"/>
      <w:lvlText w:val="%1．"/>
      <w:lvlJc w:val="left"/>
      <w:pPr>
        <w:tabs>
          <w:tab w:val="left" w:pos="0"/>
        </w:tabs>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mJlMzkyOGVhNGQ4YWY2YmZmYmNiYzc1MTM2ODMifQ=="/>
  </w:docVars>
  <w:rsids>
    <w:rsidRoot w:val="7E280D5B"/>
    <w:rsid w:val="0BDE09ED"/>
    <w:rsid w:val="1F9E3DEC"/>
    <w:rsid w:val="7E28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宋体"/>
      <w:kern w:val="2"/>
      <w:sz w:val="21"/>
      <w:szCs w:val="21"/>
      <w:lang w:val="en-US" w:eastAsia="zh-CN" w:bidi="ar"/>
    </w:rPr>
  </w:style>
  <w:style w:type="paragraph" w:styleId="3">
    <w:name w:val="HTML Preformatted"/>
    <w:basedOn w:val="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13</Pages>
  <Words>5761</Words>
  <Characters>5921</Characters>
  <Lines>0</Lines>
  <Paragraphs>0</Paragraphs>
  <TotalTime>19</TotalTime>
  <ScaleCrop>false</ScaleCrop>
  <LinksUpToDate>false</LinksUpToDate>
  <CharactersWithSpaces>5922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2024-08-05T03:22:00Z</dcterms:created>
  <dc:creator>胡翌婧</dc:creator>
  <cp:lastModifiedBy>秦晓艺</cp:lastModifiedBy>
  <dcterms:modified xsi:type="dcterms:W3CDTF">2024-08-30T07:23:47Z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DE11C89EA4CE41D3809477CC74072572_11</vt:lpwstr>
  </property>
</Properties>
</file>