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12FE4">
      <w:pPr>
        <w:pStyle w:val="6"/>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left="0" w:leftChars="0" w:firstLine="0" w:firstLineChars="0"/>
        <w:jc w:val="both"/>
        <w:textAlignment w:val="auto"/>
        <w:rPr>
          <w:rFonts w:hint="eastAsia" w:ascii="黑体" w:hAnsi="黑体" w:eastAsia="黑体" w:cs="黑体"/>
          <w:smallCaps w:val="0"/>
          <w:color w:val="auto"/>
          <w:kern w:val="0"/>
          <w:sz w:val="32"/>
          <w:szCs w:val="32"/>
          <w:highlight w:val="none"/>
          <w:lang w:val="en-US" w:eastAsia="zh-CN"/>
        </w:rPr>
      </w:pPr>
      <w:r>
        <w:rPr>
          <w:rFonts w:hint="eastAsia" w:ascii="黑体" w:hAnsi="黑体" w:eastAsia="黑体" w:cs="黑体"/>
          <w:smallCaps w:val="0"/>
          <w:color w:val="auto"/>
          <w:kern w:val="0"/>
          <w:sz w:val="32"/>
          <w:szCs w:val="32"/>
          <w:highlight w:val="none"/>
          <w:lang w:val="en-US" w:eastAsia="zh-CN"/>
        </w:rPr>
        <w:t>附件2</w:t>
      </w:r>
    </w:p>
    <w:p w14:paraId="18E3D13B">
      <w:pPr>
        <w:pBdr>
          <w:top w:val="none" w:color="auto" w:sz="0" w:space="0"/>
          <w:left w:val="none" w:color="auto" w:sz="0" w:space="0"/>
          <w:bottom w:val="none" w:color="auto" w:sz="0" w:space="0"/>
          <w:right w:val="none" w:color="auto" w:sz="0" w:space="0"/>
          <w:between w:val="none" w:color="auto" w:sz="0" w:space="0"/>
        </w:pBdr>
        <w:adjustRightInd w:val="0"/>
        <w:snapToGrid w:val="0"/>
        <w:spacing w:beforeLines="0" w:afterLines="0" w:line="590" w:lineRule="exact"/>
        <w:ind w:firstLine="632" w:firstLineChars="200"/>
        <w:rPr>
          <w:rFonts w:hint="eastAsia" w:ascii="仿宋_GB2312" w:hAnsi="仿宋_GB2312" w:eastAsia="仿宋_GB2312" w:cs="仿宋_GB2312"/>
          <w:kern w:val="0"/>
          <w:szCs w:val="32"/>
          <w:lang w:val="en-US" w:eastAsia="zh-CN"/>
        </w:rPr>
      </w:pPr>
    </w:p>
    <w:p w14:paraId="6DD966A1">
      <w:pPr>
        <w:pBdr>
          <w:top w:val="none" w:color="auto" w:sz="0" w:space="0"/>
          <w:left w:val="none" w:color="auto" w:sz="0" w:space="0"/>
          <w:bottom w:val="none" w:color="auto" w:sz="0" w:space="0"/>
          <w:right w:val="none" w:color="auto" w:sz="0" w:space="0"/>
          <w:between w:val="none" w:color="auto" w:sz="0" w:space="0"/>
        </w:pBdr>
        <w:adjustRightInd w:val="0"/>
        <w:snapToGrid w:val="0"/>
        <w:spacing w:beforeLines="0" w:afterLines="0" w:line="590" w:lineRule="exact"/>
        <w:ind w:left="0" w:leftChars="0" w:firstLine="0" w:firstLineChars="0"/>
        <w:jc w:val="center"/>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黑水虻安全高效养殖及饲料化技术研发与应用推广项目入库申报指南</w:t>
      </w:r>
    </w:p>
    <w:p w14:paraId="2FAA432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snapToGrid w:val="0"/>
          <w:kern w:val="0"/>
          <w:sz w:val="32"/>
          <w:szCs w:val="32"/>
          <w:lang w:val="en-US" w:eastAsia="zh-CN"/>
        </w:rPr>
      </w:pPr>
    </w:p>
    <w:p w14:paraId="5F5B162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 xml:space="preserve">一、总体目标 </w:t>
      </w:r>
    </w:p>
    <w:p w14:paraId="0F98CD6A">
      <w:pPr>
        <w:pStyle w:val="7"/>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beforeAutospacing="0" w:after="0" w:afterLines="0" w:afterAutospacing="0" w:line="590" w:lineRule="exact"/>
        <w:ind w:firstLine="632" w:firstLineChars="200"/>
        <w:jc w:val="both"/>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sz w:val="32"/>
          <w:szCs w:val="32"/>
        </w:rPr>
        <w:t>为贯彻落实农业农村部发布的《关于实施养殖业节粮行动的意见》（农牧发〔2024〕18号）及《养殖业节粮行动实施方案》（农办牧〔2025〕15号）中充分挖掘非粮饲料资源等要求，针对黑水虻作为昆虫蛋白资源在饲料化利用过程中存在生物安全传播风险不明、营养价值与应用效果评估不系统、不同产品形态与加工工艺应用效果不清晰等制约其大规模推广应用的瓶颈问题，鉴于广东作为禽蛋和水产品消费及养殖大省，积极开展黑水虻新型饲料蛋白来源的开发及产业化应用工作，旨在有效推动养殖业节粮替代、降本增效，保障禽蛋和水产品的优质蛋白供应。</w:t>
      </w:r>
    </w:p>
    <w:p w14:paraId="3C62433A">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黑体" w:hAnsi="黑体" w:eastAsia="黑体" w:cs="黑体"/>
          <w:snapToGrid w:val="0"/>
          <w:kern w:val="0"/>
          <w:szCs w:val="32"/>
          <w:lang w:val="en-US" w:eastAsia="zh-CN"/>
        </w:rPr>
      </w:pPr>
      <w:r>
        <w:rPr>
          <w:rFonts w:hint="eastAsia" w:ascii="黑体" w:hAnsi="黑体" w:eastAsia="黑体" w:cs="黑体"/>
          <w:snapToGrid w:val="0"/>
          <w:kern w:val="0"/>
          <w:sz w:val="32"/>
          <w:szCs w:val="32"/>
          <w:lang w:val="en-US" w:eastAsia="zh-CN"/>
        </w:rPr>
        <w:t>二、</w:t>
      </w:r>
      <w:r>
        <w:rPr>
          <w:rFonts w:hint="eastAsia" w:ascii="黑体" w:hAnsi="黑体" w:eastAsia="黑体" w:cs="黑体"/>
          <w:snapToGrid w:val="0"/>
          <w:kern w:val="0"/>
          <w:szCs w:val="32"/>
        </w:rPr>
        <w:t>建设内容</w:t>
      </w:r>
    </w:p>
    <w:p w14:paraId="6238C6E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系统开展饲料、餐厨剩余物、畜禽粪污三种基质来源黑水虻养殖模式的生物安全传播风险监测评估、营养价值分析、工艺优化及饲料化应用研究，深入探索其在蛋禽和水产养殖中的应用潜力，构建标准化养殖技术体系，最终整合形成涵盖黑水虻安全养殖、产品加工优化、饲料化高效应用的一体化技术方案，并进行示范推广。</w:t>
      </w:r>
    </w:p>
    <w:p w14:paraId="63EB44F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黑体" w:hAnsi="黑体" w:eastAsia="黑体" w:cs="黑体"/>
          <w:kern w:val="0"/>
          <w:sz w:val="32"/>
          <w:szCs w:val="32"/>
        </w:rPr>
      </w:pPr>
      <w:r>
        <w:rPr>
          <w:rFonts w:hint="eastAsia" w:ascii="黑体" w:hAnsi="黑体" w:eastAsia="黑体" w:cs="黑体"/>
          <w:snapToGrid w:val="0"/>
          <w:kern w:val="0"/>
          <w:sz w:val="32"/>
          <w:szCs w:val="32"/>
          <w:lang w:val="en-US" w:eastAsia="zh-CN"/>
        </w:rPr>
        <w:t>三、</w:t>
      </w:r>
      <w:r>
        <w:rPr>
          <w:rFonts w:hint="eastAsia" w:ascii="黑体" w:hAnsi="黑体" w:eastAsia="黑体" w:cs="黑体"/>
          <w:snapToGrid w:val="0"/>
          <w:kern w:val="0"/>
          <w:sz w:val="32"/>
          <w:szCs w:val="32"/>
        </w:rPr>
        <w:t>绩效目标</w:t>
      </w:r>
    </w:p>
    <w:p w14:paraId="104598A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kern w:val="0"/>
          <w:szCs w:val="32"/>
        </w:rPr>
        <w:t>形成黑水虻养殖模式及其饲料化利用的生物安全评估方法体系1套、黑水虻产品加工优化工艺1套；构建黑水虻标准化养殖技术体系1套，在1</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Cs w:val="32"/>
        </w:rPr>
        <w:t>2个规模化养殖企业的3</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Cs w:val="32"/>
        </w:rPr>
        <w:t>4个蛋禽和水产品种开展示范推广；开展黑水虻养殖及饲料化应用、昆虫蛋白饲料资源开发等技术培训1</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Cs w:val="32"/>
        </w:rPr>
        <w:t>2次，培训人数不少于100人次</w:t>
      </w:r>
      <w:r>
        <w:rPr>
          <w:rFonts w:hint="eastAsia" w:ascii="仿宋_GB2312" w:hAnsi="仿宋_GB2312" w:eastAsia="仿宋_GB2312" w:cs="仿宋_GB2312"/>
          <w:kern w:val="0"/>
          <w:sz w:val="32"/>
          <w:szCs w:val="32"/>
          <w:lang w:val="en-US" w:eastAsia="zh-CN" w:bidi="ar-SA"/>
        </w:rPr>
        <w:t>。</w:t>
      </w:r>
    </w:p>
    <w:p w14:paraId="5FBDA82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黑体" w:hAnsi="黑体" w:eastAsia="黑体" w:cs="黑体"/>
          <w:color w:val="auto"/>
          <w:kern w:val="0"/>
          <w:sz w:val="32"/>
          <w:szCs w:val="32"/>
        </w:rPr>
      </w:pPr>
      <w:r>
        <w:rPr>
          <w:rFonts w:hint="eastAsia" w:ascii="黑体" w:hAnsi="黑体" w:eastAsia="黑体" w:cs="黑体"/>
          <w:snapToGrid w:val="0"/>
          <w:kern w:val="0"/>
          <w:sz w:val="32"/>
          <w:szCs w:val="32"/>
          <w:lang w:val="en-US" w:eastAsia="zh-CN"/>
        </w:rPr>
        <w:t>四、</w:t>
      </w:r>
      <w:r>
        <w:rPr>
          <w:rFonts w:hint="eastAsia" w:ascii="黑体" w:hAnsi="黑体" w:eastAsia="黑体" w:cs="黑体"/>
          <w:snapToGrid w:val="0"/>
          <w:color w:val="auto"/>
          <w:kern w:val="0"/>
          <w:sz w:val="32"/>
          <w:szCs w:val="32"/>
        </w:rPr>
        <w:t>申报对象及条件</w:t>
      </w:r>
    </w:p>
    <w:p w14:paraId="5CF084A4">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rPr>
        <w:t>从事饲料相关领域的农业高等院校、科研院所或事业单位。</w:t>
      </w:r>
    </w:p>
    <w:p w14:paraId="4E35B9C6">
      <w:pPr>
        <w:pStyle w:val="4"/>
        <w:numPr>
          <w:ilvl w:val="0"/>
          <w:numId w:val="0"/>
        </w:numPr>
        <w:adjustRightInd w:val="0"/>
        <w:snapToGrid w:val="0"/>
        <w:spacing w:beforeLines="0" w:after="0" w:afterLines="0" w:line="590" w:lineRule="exact"/>
        <w:ind w:left="0" w:leftChars="0" w:firstLine="632" w:firstLineChars="200"/>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lang w:val="en-US" w:eastAsia="zh-CN"/>
        </w:rPr>
        <w:t>（二）</w:t>
      </w:r>
      <w:r>
        <w:rPr>
          <w:rFonts w:hint="eastAsia" w:ascii="仿宋_GB2312" w:hAnsi="仿宋_GB2312" w:eastAsia="仿宋_GB2312" w:cs="仿宋_GB2312"/>
          <w:kern w:val="0"/>
          <w:szCs w:val="32"/>
          <w:highlight w:val="none"/>
          <w:lang w:val="zh-TW" w:eastAsia="zh-TW"/>
        </w:rPr>
        <w:t>建有</w:t>
      </w:r>
      <w:r>
        <w:rPr>
          <w:rFonts w:hint="eastAsia" w:ascii="仿宋_GB2312" w:hAnsi="仿宋_GB2312" w:eastAsia="仿宋_GB2312" w:cs="仿宋_GB2312"/>
          <w:kern w:val="0"/>
          <w:szCs w:val="32"/>
          <w:highlight w:val="none"/>
          <w:lang w:val="zh-TW" w:eastAsia="zh-CN"/>
        </w:rPr>
        <w:t>相关领域</w:t>
      </w:r>
      <w:r>
        <w:rPr>
          <w:rFonts w:hint="eastAsia" w:ascii="仿宋_GB2312" w:hAnsi="仿宋_GB2312" w:eastAsia="仿宋_GB2312" w:cs="仿宋_GB2312"/>
          <w:kern w:val="0"/>
          <w:szCs w:val="32"/>
          <w:highlight w:val="none"/>
          <w:lang w:val="zh-TW" w:eastAsia="zh-TW"/>
        </w:rPr>
        <w:t>国家</w:t>
      </w:r>
      <w:r>
        <w:rPr>
          <w:rFonts w:hint="eastAsia" w:ascii="仿宋_GB2312" w:hAnsi="仿宋_GB2312" w:eastAsia="仿宋_GB2312" w:cs="仿宋_GB2312"/>
          <w:kern w:val="0"/>
          <w:szCs w:val="32"/>
          <w:highlight w:val="none"/>
          <w:lang w:val="zh-TW" w:eastAsia="zh-CN"/>
        </w:rPr>
        <w:t>或</w:t>
      </w:r>
      <w:r>
        <w:rPr>
          <w:rFonts w:hint="eastAsia" w:ascii="仿宋_GB2312" w:hAnsi="仿宋_GB2312" w:eastAsia="仿宋_GB2312" w:cs="仿宋_GB2312"/>
          <w:kern w:val="0"/>
          <w:szCs w:val="32"/>
          <w:highlight w:val="none"/>
          <w:lang w:val="zh-TW" w:eastAsia="zh-TW"/>
        </w:rPr>
        <w:t>省部级重点实验室</w:t>
      </w:r>
      <w:r>
        <w:rPr>
          <w:rFonts w:hint="eastAsia" w:ascii="仿宋_GB2312" w:hAnsi="仿宋_GB2312" w:eastAsia="仿宋_GB2312" w:cs="仿宋_GB2312"/>
          <w:kern w:val="0"/>
          <w:szCs w:val="32"/>
          <w:highlight w:val="none"/>
          <w:lang w:val="zh-TW"/>
        </w:rPr>
        <w:t>等创新平台</w:t>
      </w:r>
      <w:r>
        <w:rPr>
          <w:rFonts w:hint="eastAsia" w:ascii="仿宋_GB2312" w:hAnsi="仿宋_GB2312" w:eastAsia="仿宋_GB2312" w:cs="仿宋_GB2312"/>
          <w:kern w:val="0"/>
          <w:szCs w:val="32"/>
          <w:highlight w:val="none"/>
        </w:rPr>
        <w:t>或</w:t>
      </w:r>
      <w:r>
        <w:rPr>
          <w:rFonts w:hint="eastAsia" w:ascii="仿宋_GB2312" w:hAnsi="仿宋_GB2312" w:eastAsia="仿宋_GB2312" w:cs="仿宋_GB2312"/>
          <w:kern w:val="0"/>
          <w:szCs w:val="32"/>
          <w:highlight w:val="none"/>
          <w:lang w:eastAsia="zh-CN"/>
        </w:rPr>
        <w:t>有相关研究基础</w:t>
      </w:r>
      <w:r>
        <w:rPr>
          <w:rFonts w:hint="eastAsia" w:ascii="仿宋_GB2312" w:hAnsi="仿宋_GB2312" w:eastAsia="仿宋_GB2312" w:cs="仿宋_GB2312"/>
          <w:kern w:val="0"/>
          <w:szCs w:val="32"/>
          <w:highlight w:val="none"/>
        </w:rPr>
        <w:t>的</w:t>
      </w:r>
      <w:r>
        <w:rPr>
          <w:rFonts w:hint="eastAsia" w:ascii="仿宋_GB2312" w:hAnsi="仿宋_GB2312" w:eastAsia="仿宋_GB2312" w:cs="仿宋_GB2312"/>
          <w:kern w:val="0"/>
          <w:szCs w:val="32"/>
          <w:highlight w:val="none"/>
          <w:lang w:val="zh-TW"/>
        </w:rPr>
        <w:t>单位</w:t>
      </w:r>
      <w:r>
        <w:rPr>
          <w:rFonts w:hint="eastAsia" w:ascii="仿宋_GB2312" w:hAnsi="仿宋_GB2312" w:eastAsia="仿宋_GB2312" w:cs="仿宋_GB2312"/>
          <w:kern w:val="0"/>
          <w:szCs w:val="32"/>
          <w:highlight w:val="none"/>
        </w:rPr>
        <w:t>优先考虑。</w:t>
      </w:r>
    </w:p>
    <w:p w14:paraId="653A6C7B">
      <w:pPr>
        <w:pStyle w:val="4"/>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eastAsia="仿宋_GB2312" w:cs="仿宋_GB2312"/>
          <w:color w:val="auto"/>
          <w:kern w:val="0"/>
          <w:sz w:val="32"/>
          <w:szCs w:val="32"/>
          <w:highlight w:val="none"/>
          <w:lang w:val="en-US" w:eastAsia="zh-CN"/>
        </w:rPr>
      </w:pPr>
      <w:bookmarkStart w:id="0" w:name="OLE_LINK3"/>
      <w:r>
        <w:rPr>
          <w:rFonts w:hint="eastAsia" w:ascii="仿宋_GB2312" w:hAnsi="仿宋_GB2312" w:eastAsia="仿宋_GB2312" w:cs="仿宋_GB2312"/>
          <w:kern w:val="0"/>
          <w:szCs w:val="32"/>
        </w:rPr>
        <w:t>（三）承担我省</w:t>
      </w:r>
      <w:r>
        <w:rPr>
          <w:rFonts w:hint="eastAsia" w:ascii="仿宋_GB2312" w:hAnsi="仿宋_GB2312" w:eastAsia="仿宋_GB2312" w:cs="仿宋_GB2312"/>
          <w:kern w:val="0"/>
          <w:szCs w:val="32"/>
          <w:lang w:eastAsia="zh-CN"/>
        </w:rPr>
        <w:t>同类</w:t>
      </w:r>
      <w:r>
        <w:rPr>
          <w:rFonts w:hint="eastAsia" w:ascii="仿宋_GB2312" w:hAnsi="仿宋_GB2312" w:eastAsia="仿宋_GB2312" w:cs="仿宋_GB2312"/>
          <w:kern w:val="0"/>
          <w:szCs w:val="32"/>
        </w:rPr>
        <w:t>项目逾期未验收或验收未通过的单位不得申报。</w:t>
      </w:r>
      <w:bookmarkEnd w:id="0"/>
    </w:p>
    <w:p w14:paraId="2FAAA199">
      <w:pPr>
        <w:pStyle w:val="4"/>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黑体" w:hAnsi="黑体" w:eastAsia="黑体" w:cs="黑体"/>
          <w:kern w:val="0"/>
          <w:szCs w:val="32"/>
          <w:lang w:val="zh-CN"/>
        </w:rPr>
      </w:pPr>
      <w:r>
        <w:rPr>
          <w:rFonts w:hint="eastAsia" w:ascii="黑体" w:hAnsi="黑体" w:eastAsia="黑体" w:cs="黑体"/>
          <w:kern w:val="0"/>
          <w:szCs w:val="32"/>
          <w:lang w:eastAsia="zh-CN"/>
        </w:rPr>
        <w:t>五、实施周期和</w:t>
      </w:r>
      <w:r>
        <w:rPr>
          <w:rFonts w:hint="eastAsia" w:ascii="黑体" w:hAnsi="黑体" w:eastAsia="黑体" w:cs="黑体"/>
          <w:kern w:val="0"/>
          <w:sz w:val="32"/>
          <w:szCs w:val="32"/>
        </w:rPr>
        <w:t>资金</w:t>
      </w:r>
      <w:r>
        <w:rPr>
          <w:rFonts w:hint="eastAsia" w:ascii="黑体" w:hAnsi="黑体" w:eastAsia="黑体" w:cs="黑体"/>
          <w:kern w:val="0"/>
          <w:sz w:val="32"/>
          <w:szCs w:val="32"/>
          <w:lang w:eastAsia="zh-CN"/>
        </w:rPr>
        <w:t>额度</w:t>
      </w:r>
    </w:p>
    <w:p w14:paraId="4029E52C">
      <w:pPr>
        <w:pStyle w:val="4"/>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kern w:val="0"/>
          <w:szCs w:val="32"/>
          <w:lang w:val="zh-CN"/>
        </w:rPr>
        <w:t>原则上项目实施周期为2年。项目资金额度不超过198万元。项目承担单位需自行测算项目需求金额，资金主要用于项目开展过程中产生的材料费、检测费、劳务费、培训费、差旅费等，在申报书中提供资金测算过程及测算依据。最终资金补助金额以我单位测算核实为准</w:t>
      </w:r>
      <w:r>
        <w:rPr>
          <w:rFonts w:hint="eastAsia" w:ascii="仿宋_GB2312" w:hAnsi="仿宋_GB2312" w:eastAsia="仿宋_GB2312" w:cs="仿宋_GB2312"/>
          <w:color w:val="auto"/>
          <w:kern w:val="0"/>
          <w:szCs w:val="32"/>
          <w:highlight w:val="none"/>
          <w:lang w:val="zh-CN"/>
        </w:rPr>
        <w:t>。</w:t>
      </w:r>
    </w:p>
    <w:p w14:paraId="6BE69902">
      <w:pPr>
        <w:pStyle w:val="4"/>
        <w:numPr>
          <w:ilvl w:val="0"/>
          <w:numId w:val="0"/>
        </w:numPr>
        <w:adjustRightInd w:val="0"/>
        <w:snapToGrid w:val="0"/>
        <w:spacing w:beforeLines="0" w:after="0" w:afterLines="0" w:line="590" w:lineRule="exact"/>
        <w:ind w:left="0" w:leftChars="0" w:firstLine="632" w:firstLineChars="200"/>
        <w:rPr>
          <w:rFonts w:hint="eastAsia" w:ascii="黑体" w:hAnsi="黑体" w:eastAsia="黑体" w:cs="黑体"/>
          <w:kern w:val="0"/>
          <w:szCs w:val="32"/>
          <w:lang w:val="en-US" w:eastAsia="zh-CN"/>
        </w:rPr>
      </w:pPr>
      <w:r>
        <w:rPr>
          <w:rFonts w:hint="eastAsia" w:ascii="黑体" w:hAnsi="黑体" w:eastAsia="黑体" w:cs="黑体"/>
          <w:kern w:val="0"/>
          <w:sz w:val="32"/>
          <w:szCs w:val="32"/>
          <w:highlight w:val="none"/>
          <w:lang w:val="en-US" w:eastAsia="zh-CN"/>
        </w:rPr>
        <w:t>六、申报材料要求</w:t>
      </w:r>
    </w:p>
    <w:p w14:paraId="21A6BE7B">
      <w:pPr>
        <w:pStyle w:val="4"/>
        <w:numPr>
          <w:ilvl w:val="0"/>
          <w:numId w:val="0"/>
        </w:numPr>
        <w:adjustRightInd w:val="0"/>
        <w:snapToGrid w:val="0"/>
        <w:spacing w:beforeLines="0" w:after="0" w:afterLines="0" w:line="590" w:lineRule="exact"/>
        <w:ind w:left="0" w:leftChars="0" w:firstLine="632" w:firstLineChars="200"/>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val="en-US" w:eastAsia="zh-CN"/>
        </w:rPr>
        <w:t>（一）</w:t>
      </w:r>
      <w:r>
        <w:rPr>
          <w:rFonts w:hint="eastAsia" w:ascii="仿宋_GB2312" w:hAnsi="仿宋_GB2312" w:eastAsia="仿宋_GB2312" w:cs="仿宋_GB2312"/>
          <w:kern w:val="0"/>
          <w:szCs w:val="32"/>
          <w:lang w:eastAsia="zh-CN"/>
        </w:rPr>
        <w:t>请使用第9类《农业科研类及技术推广示范类项目申报书模板》编写项目申报书。</w:t>
      </w:r>
    </w:p>
    <w:p w14:paraId="5A1A2DE8">
      <w:pPr>
        <w:pStyle w:val="4"/>
        <w:adjustRightInd w:val="0"/>
        <w:snapToGrid w:val="0"/>
        <w:spacing w:beforeLines="0" w:after="0" w:afterLines="0" w:line="590" w:lineRule="exact"/>
        <w:ind w:left="0" w:leftChars="0" w:firstLine="0"/>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（二）项目申报书中应详细介绍项目申报团队现有的能够为项目高质量开展提供的人员基础、技术支撑基础、理论基础和硬件设施基础等，应明确项目详细建设计划，确保项目顺利开展。</w:t>
      </w:r>
    </w:p>
    <w:p w14:paraId="33243F93">
      <w:pPr>
        <w:pStyle w:val="4"/>
        <w:adjustRightInd w:val="0"/>
        <w:snapToGrid w:val="0"/>
        <w:spacing w:beforeLines="0" w:after="0" w:afterLines="0" w:line="590" w:lineRule="exact"/>
        <w:ind w:left="0" w:leftChars="0" w:firstLine="0"/>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（三）相关资质证明材料。</w:t>
      </w:r>
    </w:p>
    <w:p w14:paraId="2D133A28">
      <w:pPr>
        <w:adjustRightInd w:val="0"/>
        <w:snapToGrid w:val="0"/>
        <w:spacing w:beforeLines="0" w:afterLines="0" w:line="590" w:lineRule="exact"/>
        <w:ind w:firstLine="632" w:firstLineChars="200"/>
        <w:rPr>
          <w:rFonts w:hint="eastAsia" w:ascii="仿宋_GB2312" w:hAnsi="仿宋_GB2312" w:eastAsia="仿宋_GB2312" w:cs="仿宋_GB2312"/>
          <w:kern w:val="0"/>
          <w:szCs w:val="32"/>
          <w:lang w:val="zh-CN"/>
        </w:rPr>
      </w:pPr>
    </w:p>
    <w:p w14:paraId="71AE8E78">
      <w:pPr>
        <w:pStyle w:val="10"/>
        <w:widowControl w:val="0"/>
        <w:pBdr>
          <w:top w:val="none" w:color="auto" w:sz="0" w:space="0"/>
          <w:left w:val="none" w:color="auto" w:sz="0" w:space="0"/>
          <w:bottom w:val="none" w:color="auto" w:sz="0" w:space="0"/>
          <w:right w:val="none" w:color="auto" w:sz="0" w:space="0"/>
          <w:between w:val="none" w:color="auto" w:sz="0" w:space="0"/>
        </w:pBdr>
        <w:adjustRightInd w:val="0"/>
        <w:snapToGrid w:val="0"/>
        <w:spacing w:beforeLines="0" w:afterLines="0" w:line="590" w:lineRule="exact"/>
        <w:ind w:left="0" w:leftChars="0" w:right="0" w:rightChars="0" w:firstLine="632" w:firstLineChars="200"/>
        <w:rPr>
          <w:rFonts w:hint="eastAsia" w:ascii="仿宋_GB2312" w:hAnsi="仿宋_GB2312" w:eastAsia="仿宋_GB2312" w:cs="仿宋_GB2312"/>
          <w:snapToGrid w:val="0"/>
          <w:kern w:val="0"/>
          <w:szCs w:val="32"/>
          <w:lang w:eastAsia="zh-CN"/>
        </w:rPr>
      </w:pPr>
    </w:p>
    <w:p w14:paraId="70FA86E8">
      <w:pPr>
        <w:adjustRightInd w:val="0"/>
        <w:snapToGrid w:val="0"/>
        <w:spacing w:beforeLines="0" w:afterLines="0" w:line="590" w:lineRule="exact"/>
        <w:ind w:right="0" w:firstLine="632" w:firstLineChars="200"/>
        <w:rPr>
          <w:rFonts w:hint="eastAsia" w:ascii="仿宋_GB2312" w:hAnsi="仿宋_GB2312" w:eastAsia="仿宋_GB2312" w:cs="仿宋_GB2312"/>
          <w:snapToGrid w:val="0"/>
          <w:kern w:val="0"/>
          <w:szCs w:val="32"/>
        </w:rPr>
      </w:pPr>
    </w:p>
    <w:p w14:paraId="782705C8">
      <w:pPr>
        <w:adjustRightInd w:val="0"/>
        <w:snapToGrid w:val="0"/>
        <w:spacing w:beforeLines="0" w:afterLines="0" w:line="590" w:lineRule="exact"/>
        <w:ind w:right="0" w:firstLine="632" w:firstLineChars="200"/>
        <w:rPr>
          <w:rFonts w:hint="eastAsia" w:ascii="仿宋_GB2312" w:hAnsi="仿宋_GB2312" w:eastAsia="仿宋_GB2312" w:cs="仿宋_GB2312"/>
          <w:snapToGrid w:val="0"/>
          <w:kern w:val="0"/>
          <w:szCs w:val="32"/>
        </w:rPr>
      </w:pPr>
    </w:p>
    <w:p w14:paraId="249893DD">
      <w:pPr>
        <w:adjustRightInd w:val="0"/>
        <w:snapToGrid w:val="0"/>
        <w:spacing w:beforeLines="0" w:afterLines="0" w:line="590" w:lineRule="exact"/>
        <w:ind w:right="0" w:firstLine="632" w:firstLineChars="200"/>
        <w:rPr>
          <w:rFonts w:hint="eastAsia" w:ascii="仿宋_GB2312" w:hAnsi="仿宋_GB2312" w:eastAsia="仿宋_GB2312" w:cs="仿宋_GB2312"/>
          <w:snapToGrid w:val="0"/>
          <w:kern w:val="0"/>
          <w:szCs w:val="32"/>
        </w:rPr>
      </w:pPr>
    </w:p>
    <w:p w14:paraId="05A537E6">
      <w:pPr>
        <w:adjustRightInd w:val="0"/>
        <w:snapToGrid w:val="0"/>
        <w:spacing w:beforeLines="0" w:afterLines="0" w:line="590" w:lineRule="exact"/>
        <w:ind w:right="0" w:firstLine="632" w:firstLineChars="200"/>
        <w:rPr>
          <w:rFonts w:hint="eastAsia" w:ascii="仿宋_GB2312" w:hAnsi="仿宋_GB2312" w:eastAsia="仿宋_GB2312" w:cs="仿宋_GB2312"/>
          <w:snapToGrid w:val="0"/>
          <w:kern w:val="0"/>
          <w:szCs w:val="32"/>
        </w:rPr>
      </w:pPr>
    </w:p>
    <w:p w14:paraId="18C5164B">
      <w:pPr>
        <w:pStyle w:val="10"/>
        <w:widowControl w:val="0"/>
        <w:adjustRightInd w:val="0"/>
        <w:snapToGrid w:val="0"/>
        <w:spacing w:beforeLines="0" w:afterLines="0" w:line="590" w:lineRule="exact"/>
        <w:ind w:left="0" w:leftChars="0" w:right="0" w:rightChars="0" w:firstLine="632" w:firstLineChars="200"/>
        <w:rPr>
          <w:rFonts w:hint="eastAsia" w:ascii="仿宋_GB2312" w:hAnsi="仿宋_GB2312" w:eastAsia="仿宋_GB2312" w:cs="仿宋_GB2312"/>
          <w:snapToGrid w:val="0"/>
          <w:kern w:val="0"/>
          <w:szCs w:val="32"/>
          <w:lang w:eastAsia="zh-CN"/>
        </w:rPr>
      </w:pPr>
      <w:bookmarkStart w:id="1" w:name="F_CSDW"/>
      <w:bookmarkEnd w:id="1"/>
    </w:p>
    <w:p w14:paraId="2A7C4DFD">
      <w:bookmarkStart w:id="2" w:name="_GoBack"/>
      <w:bookmarkEnd w:id="2"/>
    </w:p>
    <w:sectPr>
      <w:footerReference r:id="rId4" w:type="first"/>
      <w:footerReference r:id="rId3" w:type="default"/>
      <w:pgSz w:w="11906" w:h="16838"/>
      <w:pgMar w:top="1871" w:right="1531" w:bottom="1871" w:left="1531" w:header="851" w:footer="1417" w:gutter="0"/>
      <w:pgNumType w:fmt="decimal" w:start="2"/>
      <w:cols w:space="720" w:num="1"/>
      <w:titlePg/>
      <w:rtlGutter w:val="0"/>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BF226">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43A0E66">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243A0E66">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B893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D63DB14">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1D63DB14">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484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styleId="4">
    <w:name w:val="Body Text First Indent 2"/>
    <w:basedOn w:val="3"/>
    <w:next w:val="1"/>
    <w:qFormat/>
    <w:uiPriority w:val="0"/>
    <w:pPr>
      <w:ind w:firstLine="420" w:firstLineChars="200"/>
    </w:pPr>
    <w:rPr>
      <w:rFonts w:ascii="Times New Roman" w:hAnsi="Times New Roman" w:eastAsia="仿宋_GB2312" w:cs="Times New Roman"/>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2"/>
    <w:basedOn w:val="1"/>
    <w:next w:val="1"/>
    <w:qFormat/>
    <w:uiPriority w:val="0"/>
    <w:pPr>
      <w:spacing w:after="160" w:line="360" w:lineRule="auto"/>
      <w:ind w:left="210"/>
      <w:jc w:val="left"/>
    </w:pPr>
    <w:rPr>
      <w:rFonts w:ascii="Times New Roman" w:hAnsi="Times New Roman" w:eastAsia="宋体" w:cs="Times New Roman"/>
      <w:smallCaps/>
      <w:sz w:val="24"/>
      <w:szCs w:val="20"/>
    </w:rPr>
  </w:style>
  <w:style w:type="paragraph" w:styleId="7">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customStyle="1" w:styleId="10">
    <w:name w:val="p0"/>
    <w:basedOn w:val="1"/>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2025-11-24T08:32:22Z</dcterms:created>
  <dc:creator>wuyin</dc:creator>
  <cp:lastModifiedBy>李ZD</cp:lastModifiedBy>
  <dcterms:modified xsi:type="dcterms:W3CDTF">2025-11-24T08:32:29Z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eyJoZGlkIjoiY2MyMzYyMjE4OGEyYmU0NGU4OWM3NGNlZDgzMmNmZWUiLCJ1c2VySWQiOiIyMjU2NjUwODMifQ==</vt:lpwstr>
  </property>
  <property fmtid="{D5CDD505-2E9C-101B-9397-08002B2CF9AE}" pid="4" name="ICV">
    <vt:lpwstr>8675084F124C45208ED30EAA32DE9AF9_12</vt:lpwstr>
  </property>
</Properties>
</file>