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AA22">
      <w:pPr>
        <w:adjustRightInd w:val="0"/>
        <w:snapToGrid w:val="0"/>
        <w:spacing w:beforeLines="0" w:afterLines="0" w:line="590" w:lineRule="exact"/>
        <w:ind w:left="0" w:leftChars="0" w:firstLine="0" w:firstLineChars="0"/>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附件1</w:t>
      </w:r>
    </w:p>
    <w:p w14:paraId="6C863012">
      <w:pPr>
        <w:pStyle w:val="3"/>
        <w:adjustRightInd w:val="0"/>
        <w:snapToGrid w:val="0"/>
        <w:spacing w:beforeLines="0" w:afterLines="0" w:line="590" w:lineRule="exact"/>
        <w:ind w:firstLine="632"/>
        <w:rPr>
          <w:rFonts w:hint="eastAsia" w:ascii="仿宋_GB2312" w:hAnsi="仿宋_GB2312" w:eastAsia="仿宋_GB2312" w:cs="仿宋_GB2312"/>
          <w:kern w:val="0"/>
          <w:sz w:val="32"/>
          <w:szCs w:val="32"/>
          <w:lang w:val="en-US" w:eastAsia="zh-CN"/>
        </w:rPr>
      </w:pPr>
    </w:p>
    <w:p w14:paraId="296E943C">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农作物病虫疫情防控和农药研发项目</w:t>
      </w:r>
    </w:p>
    <w:p w14:paraId="3417B4B6">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入库申报指南</w:t>
      </w:r>
    </w:p>
    <w:p w14:paraId="76D69085">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90" w:lineRule="exact"/>
        <w:ind w:leftChars="0" w:right="0" w:rightChars="0" w:firstLine="632" w:firstLineChars="200"/>
        <w:jc w:val="both"/>
        <w:textAlignment w:val="auto"/>
        <w:outlineLvl w:val="9"/>
        <w:rPr>
          <w:rFonts w:hint="eastAsia" w:ascii="仿宋_GB2312" w:hAnsi="仿宋_GB2312" w:eastAsia="仿宋_GB2312" w:cs="仿宋_GB2312"/>
          <w:bCs/>
          <w:color w:val="000000"/>
          <w:kern w:val="0"/>
          <w:sz w:val="32"/>
          <w:szCs w:val="32"/>
          <w:lang w:eastAsia="zh-CN"/>
        </w:rPr>
      </w:pPr>
    </w:p>
    <w:p w14:paraId="222B754D">
      <w:pPr>
        <w:pageBreakBefore w:val="0"/>
        <w:widowControl/>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14:paraId="56503621">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sz w:val="32"/>
          <w:szCs w:val="32"/>
          <w:lang w:val="en-US" w:eastAsia="zh-CN"/>
        </w:rPr>
        <w:t>围绕水稻跗线螨、稻粉虱、二化螟等病虫开展防控技术研究，保障粮食生产安全。围绕植物检疫工作，对省内农业检疫性有害生物进行检测鉴定，保障生物安全，围绕水稻和甘薯病虫、红火蚁、荔枝病虫等绿色防控，开展高效低风险新型药剂研究，推动农药减量增效。</w:t>
      </w:r>
    </w:p>
    <w:p w14:paraId="31A25331">
      <w:pPr>
        <w:pageBreakBefore w:val="0"/>
        <w:widowControl/>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二、扶持项目</w:t>
      </w:r>
    </w:p>
    <w:p w14:paraId="335D250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color w:val="000000"/>
          <w:kern w:val="0"/>
          <w:sz w:val="32"/>
          <w:szCs w:val="32"/>
          <w:lang w:val="en-US" w:eastAsia="zh-CN"/>
        </w:rPr>
      </w:pPr>
      <w:r>
        <w:rPr>
          <w:rFonts w:hint="eastAsia" w:ascii="楷体_GB2312" w:hAnsi="楷体_GB2312" w:eastAsia="楷体_GB2312" w:cs="楷体_GB2312"/>
          <w:b w:val="0"/>
          <w:bCs/>
          <w:snapToGrid w:val="0"/>
          <w:color w:val="000000"/>
          <w:kern w:val="0"/>
          <w:sz w:val="32"/>
          <w:szCs w:val="32"/>
          <w:lang w:val="en-US" w:eastAsia="zh-CN"/>
        </w:rPr>
        <w:t>（一）</w:t>
      </w:r>
      <w:r>
        <w:rPr>
          <w:rFonts w:hint="eastAsia" w:ascii="楷体_GB2312" w:hAnsi="楷体_GB2312" w:eastAsia="楷体_GB2312" w:cs="楷体_GB2312"/>
          <w:b w:val="0"/>
          <w:bCs/>
          <w:snapToGrid w:val="0"/>
          <w:kern w:val="0"/>
          <w:sz w:val="32"/>
          <w:szCs w:val="32"/>
          <w:lang w:val="en-US" w:eastAsia="zh-CN"/>
        </w:rPr>
        <w:t>水稻病虫害防控</w:t>
      </w:r>
    </w:p>
    <w:p w14:paraId="7BEED362">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3822A418">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监测水稻跗线螨、稻粉虱和二化螟田间发生动态；开展水稻跗线螨室内饲养技术及生活史研究，水稻跗线螨对水稻寄主的选择性研究；新型纳米农药对稻粉虱防治效果研究；二化螟高效防控技术研究，指导科学用药。</w:t>
      </w:r>
    </w:p>
    <w:p w14:paraId="7ED12F12">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二是延续在高州市、恩平市和龙门县各设立1个水稻跗线螨、稻粉虱、二化螟等水稻害虫防控示范基地。</w:t>
      </w:r>
    </w:p>
    <w:p w14:paraId="0BFE5D68">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33BC10BC">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根据水稻突发害虫田间发生动态，制定应急防控方案；突破水稻跗线螨人工饲养技术，明确水稻跗线螨的生活史，评价水稻跗线螨对水稻品种的嗜好性；筛选出对稻粉虱高效防控的纳米药剂1-2种；研发水稻二化螟高效防控技术1套。</w:t>
      </w:r>
    </w:p>
    <w:p w14:paraId="69484939">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二是在高州市、恩平市和龙门县建立水稻突发害虫防控示范基地3个，每个基地示范面积不少于50亩，辐射面积1万亩；减少化学农药用量20%以上。</w:t>
      </w:r>
    </w:p>
    <w:p w14:paraId="7194FD5A">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三是培训总人员不少于300人，主要为基层植保专业技术人员和农户。</w:t>
      </w:r>
    </w:p>
    <w:p w14:paraId="164BF93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43A0EE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rPr>
        <w:t>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r>
        <w:rPr>
          <w:rFonts w:hint="eastAsia" w:ascii="仿宋_GB2312" w:hAnsi="仿宋_GB2312" w:eastAsia="仿宋_GB2312" w:cs="仿宋_GB2312"/>
          <w:kern w:val="0"/>
          <w:sz w:val="32"/>
          <w:szCs w:val="32"/>
          <w:highlight w:val="none"/>
          <w:lang w:eastAsia="zh-CN"/>
        </w:rPr>
        <w:t>，有相关研究基础的广东省省级及以上科研院所、高校</w:t>
      </w:r>
      <w:r>
        <w:rPr>
          <w:rFonts w:hint="eastAsia" w:ascii="仿宋_GB2312" w:hAnsi="仿宋_GB2312" w:eastAsia="仿宋_GB2312" w:cs="仿宋_GB2312"/>
          <w:kern w:val="0"/>
          <w:sz w:val="32"/>
          <w:szCs w:val="32"/>
          <w:highlight w:val="none"/>
        </w:rPr>
        <w:t>。</w:t>
      </w:r>
    </w:p>
    <w:p w14:paraId="39DDC5D3">
      <w:pPr>
        <w:pStyle w:val="9"/>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32A6E78F">
      <w:pPr>
        <w:pStyle w:val="9"/>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lang w:val="en-US" w:eastAsia="zh-CN"/>
        </w:rPr>
        <w:t>168</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万元。项目承担单位需自行测算项目需求金额，在申报书中提供资金测算过程及测算依据。最终金额以省农业农村厅测算核实为准。项目预算金额测算是否详细、合理将纳入评审标准。</w:t>
      </w:r>
    </w:p>
    <w:p w14:paraId="62FF1FB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textAlignment w:val="auto"/>
        <w:rPr>
          <w:rFonts w:hint="eastAsia" w:ascii="楷体_GB2312" w:hAnsi="楷体_GB2312" w:eastAsia="楷体_GB2312" w:cs="楷体_GB2312"/>
          <w:b w:val="0"/>
          <w:bCs/>
          <w:snapToGrid w:val="0"/>
          <w:color w:val="000000"/>
          <w:kern w:val="0"/>
          <w:sz w:val="32"/>
          <w:szCs w:val="32"/>
          <w:lang w:val="en-US"/>
        </w:rPr>
      </w:pPr>
      <w:r>
        <w:rPr>
          <w:rFonts w:hint="eastAsia" w:ascii="楷体_GB2312" w:hAnsi="楷体_GB2312" w:eastAsia="楷体_GB2312" w:cs="楷体_GB2312"/>
          <w:b w:val="0"/>
          <w:bCs/>
          <w:snapToGrid w:val="0"/>
          <w:color w:val="000000"/>
          <w:kern w:val="0"/>
          <w:sz w:val="32"/>
          <w:szCs w:val="32"/>
          <w:lang w:val="en-US" w:eastAsia="zh-CN"/>
        </w:rPr>
        <w:t>（二）农业检疫性有害生物防控与农药试验研究</w:t>
      </w:r>
    </w:p>
    <w:p w14:paraId="06F98C35">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07ED27CC">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一是开展省内农业检疫性有害生物检测鉴定。</w:t>
      </w:r>
    </w:p>
    <w:p w14:paraId="7603C485">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二是开展红火蚁、荔枝蒂蛀虫防控技术、药剂研究。</w:t>
      </w:r>
    </w:p>
    <w:p w14:paraId="3068A116">
      <w:pPr>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三是开展粮食作物害虫药剂研发。研究水稻害虫精准防控剂型，研发水稻植株精准靶向控制害虫、环境安全新剂型，研究甘薯滴灌高效药剂。</w:t>
      </w:r>
    </w:p>
    <w:p w14:paraId="659B7459">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57ACB67F">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一是完成省内农业检疫性有害生物检测鉴定任务，做到送检即检，为农业农村部门开展植物检疫工作提供科学依据。</w:t>
      </w:r>
    </w:p>
    <w:p w14:paraId="582BC8BB">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开展红火蚁新型饵剂研究，开发仿生模拟昆虫体壁和卵壳的红火蚁饵剂球2种，解决红火蚁饵剂易腐败易变质问题，集成应用技术1-2套，形成操作技术规程1-2套；筛选荔枝蒂蛀虫精准防控药剂4种，构建科学用药指导系统1个，示范区域化学杀虫剂减量20%。</w:t>
      </w:r>
    </w:p>
    <w:p w14:paraId="1AD1476B">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是开展水稻害虫精准轻简防控农药产品与应用技术研究，筛选精准靶向农药产品2种，集成精准轻简化应用技术2套，形成操作技术规程1套，减少化学杀虫剂用量20%以上。开展甘薯有害生物轻简化防控技术研究，筛选适于膜下滴灌随水施用农药产品2种，集成膜下滴灌随水施用技术1-2套，形成操作技术规程1-2套，减少化学杀虫剂用量20%以上。</w:t>
      </w:r>
    </w:p>
    <w:p w14:paraId="321D947D">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四是培训总人员不少于200人，主要为基层植保专业技术人员和农户。</w:t>
      </w:r>
    </w:p>
    <w:p w14:paraId="2864FFAA">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2262782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rPr>
        <w:t>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r>
        <w:rPr>
          <w:rFonts w:hint="eastAsia" w:ascii="仿宋_GB2312" w:hAnsi="仿宋_GB2312" w:eastAsia="仿宋_GB2312" w:cs="仿宋_GB2312"/>
          <w:kern w:val="0"/>
          <w:sz w:val="32"/>
          <w:szCs w:val="32"/>
          <w:highlight w:val="none"/>
          <w:lang w:eastAsia="zh-CN"/>
        </w:rPr>
        <w:t>，有相关研究基础的广东省省级及以上科研院所、高校</w:t>
      </w:r>
      <w:r>
        <w:rPr>
          <w:rFonts w:hint="eastAsia" w:ascii="仿宋_GB2312" w:hAnsi="仿宋_GB2312" w:eastAsia="仿宋_GB2312" w:cs="仿宋_GB2312"/>
          <w:kern w:val="0"/>
          <w:sz w:val="32"/>
          <w:szCs w:val="32"/>
          <w:highlight w:val="none"/>
        </w:rPr>
        <w:t>。</w:t>
      </w:r>
    </w:p>
    <w:p w14:paraId="38FA7C9A">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134B081F">
      <w:pPr>
        <w:pStyle w:val="9"/>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万元。项目承担单位需自行测算项目需求金额，在申报书中提供资金测算过程及测算依据。最终金额以省农业农村厅测算核实为准。项目预算金额测算是否详细、合理将纳入评审标准。</w:t>
      </w:r>
    </w:p>
    <w:p w14:paraId="102318AB">
      <w:pPr>
        <w:pageBreakBefore w:val="0"/>
        <w:widowControl/>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三、申报材料要求</w:t>
      </w:r>
    </w:p>
    <w:p w14:paraId="5FE0260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zh-CN"/>
        </w:rPr>
        <w:t>1.</w:t>
      </w:r>
      <w:r>
        <w:rPr>
          <w:rFonts w:hint="eastAsia" w:ascii="仿宋_GB2312" w:hAnsi="仿宋_GB2312" w:eastAsia="仿宋_GB2312" w:cs="仿宋_GB2312"/>
          <w:b w:val="0"/>
          <w:bCs w:val="0"/>
          <w:snapToGrid/>
          <w:kern w:val="0"/>
          <w:sz w:val="32"/>
          <w:szCs w:val="32"/>
          <w:highlight w:val="none"/>
          <w:lang w:val="zh-CN" w:eastAsia="zh-CN"/>
        </w:rPr>
        <w:t>水稻病虫害防控</w:t>
      </w:r>
      <w:r>
        <w:rPr>
          <w:rFonts w:hint="eastAsia" w:ascii="仿宋_GB2312" w:hAnsi="仿宋_GB2312" w:eastAsia="仿宋_GB2312" w:cs="仿宋_GB2312"/>
          <w:b w:val="0"/>
          <w:bCs w:val="0"/>
          <w:kern w:val="0"/>
          <w:sz w:val="32"/>
          <w:szCs w:val="32"/>
          <w:highlight w:val="none"/>
          <w:lang w:val="zh-CN"/>
        </w:rPr>
        <w:t>项目</w:t>
      </w:r>
      <w:r>
        <w:rPr>
          <w:rFonts w:hint="eastAsia" w:ascii="仿宋_GB2312" w:hAnsi="仿宋_GB2312" w:eastAsia="仿宋_GB2312" w:cs="仿宋_GB2312"/>
          <w:b w:val="0"/>
          <w:bCs w:val="0"/>
          <w:kern w:val="0"/>
          <w:sz w:val="32"/>
          <w:szCs w:val="32"/>
          <w:highlight w:val="none"/>
          <w:lang w:val="zh-CN" w:eastAsia="zh-CN"/>
        </w:rPr>
        <w:t>请</w:t>
      </w:r>
      <w:r>
        <w:rPr>
          <w:rFonts w:hint="eastAsia" w:ascii="仿宋_GB2312" w:hAnsi="仿宋_GB2312" w:eastAsia="仿宋_GB2312" w:cs="仿宋_GB2312"/>
          <w:b w:val="0"/>
          <w:bCs w:val="0"/>
          <w:kern w:val="0"/>
          <w:sz w:val="32"/>
          <w:szCs w:val="32"/>
          <w:highlight w:val="none"/>
          <w:lang w:val="zh-CN"/>
        </w:rPr>
        <w:t>使用第9类项目申报书模板，</w:t>
      </w:r>
      <w:r>
        <w:rPr>
          <w:rFonts w:hint="eastAsia" w:ascii="仿宋_GB2312" w:hAnsi="仿宋_GB2312" w:eastAsia="仿宋_GB2312" w:cs="仿宋_GB2312"/>
          <w:b w:val="0"/>
          <w:bCs w:val="0"/>
          <w:kern w:val="0"/>
          <w:sz w:val="32"/>
          <w:szCs w:val="32"/>
          <w:highlight w:val="none"/>
          <w:lang w:val="en-US" w:eastAsia="zh-CN"/>
        </w:rPr>
        <w:t>农</w:t>
      </w:r>
      <w:r>
        <w:rPr>
          <w:rFonts w:hint="eastAsia" w:ascii="仿宋_GB2312" w:hAnsi="仿宋_GB2312" w:eastAsia="仿宋_GB2312" w:cs="仿宋_GB2312"/>
          <w:b w:val="0"/>
          <w:bCs w:val="0"/>
          <w:snapToGrid/>
          <w:kern w:val="0"/>
          <w:sz w:val="32"/>
          <w:szCs w:val="32"/>
          <w:highlight w:val="none"/>
          <w:lang w:val="zh-CN" w:eastAsia="zh-CN"/>
        </w:rPr>
        <w:t>业检疫性有害生物防控与农药试验研究</w:t>
      </w:r>
      <w:r>
        <w:rPr>
          <w:rFonts w:hint="eastAsia" w:ascii="仿宋_GB2312" w:hAnsi="仿宋_GB2312" w:eastAsia="仿宋_GB2312" w:cs="仿宋_GB2312"/>
          <w:b w:val="0"/>
          <w:bCs w:val="0"/>
          <w:kern w:val="0"/>
          <w:sz w:val="32"/>
          <w:szCs w:val="32"/>
          <w:highlight w:val="none"/>
          <w:lang w:val="zh-CN"/>
        </w:rPr>
        <w:t>项目</w:t>
      </w:r>
      <w:r>
        <w:rPr>
          <w:rFonts w:hint="eastAsia" w:ascii="仿宋_GB2312" w:hAnsi="仿宋_GB2312" w:eastAsia="仿宋_GB2312" w:cs="仿宋_GB2312"/>
          <w:b w:val="0"/>
          <w:bCs w:val="0"/>
          <w:kern w:val="0"/>
          <w:sz w:val="32"/>
          <w:szCs w:val="32"/>
          <w:highlight w:val="none"/>
          <w:lang w:val="zh-CN" w:eastAsia="zh-CN"/>
        </w:rPr>
        <w:t>请</w:t>
      </w:r>
      <w:r>
        <w:rPr>
          <w:rFonts w:hint="eastAsia" w:ascii="仿宋_GB2312" w:hAnsi="仿宋_GB2312" w:eastAsia="仿宋_GB2312" w:cs="仿宋_GB2312"/>
          <w:b w:val="0"/>
          <w:bCs w:val="0"/>
          <w:kern w:val="0"/>
          <w:sz w:val="32"/>
          <w:szCs w:val="32"/>
          <w:highlight w:val="none"/>
          <w:lang w:val="zh-CN"/>
        </w:rPr>
        <w:t>使用第</w:t>
      </w:r>
      <w:r>
        <w:rPr>
          <w:rFonts w:hint="eastAsia" w:ascii="仿宋_GB2312" w:hAnsi="仿宋_GB2312" w:eastAsia="仿宋_GB2312" w:cs="仿宋_GB2312"/>
          <w:b w:val="0"/>
          <w:bCs w:val="0"/>
          <w:kern w:val="0"/>
          <w:sz w:val="32"/>
          <w:szCs w:val="32"/>
          <w:highlight w:val="none"/>
          <w:lang w:val="zh-CN" w:eastAsia="zh-CN"/>
        </w:rPr>
        <w:t>11类项目申报书模板</w:t>
      </w:r>
      <w:r>
        <w:rPr>
          <w:rFonts w:hint="eastAsia" w:ascii="仿宋_GB2312" w:hAnsi="仿宋_GB2312" w:eastAsia="仿宋_GB2312" w:cs="仿宋_GB2312"/>
          <w:b w:val="0"/>
          <w:bCs w:val="0"/>
          <w:kern w:val="0"/>
          <w:sz w:val="32"/>
          <w:szCs w:val="32"/>
          <w:highlight w:val="none"/>
          <w:lang w:val="zh-CN"/>
        </w:rPr>
        <w:t>。</w:t>
      </w:r>
    </w:p>
    <w:p w14:paraId="7C43A77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default"/>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val="zh-CN"/>
        </w:rPr>
        <w:t>.项目申报书中应详细介绍项目申报团队现有的能够为项目高质量开展提供的人员基础、技术支撑基础、理论基础和硬件设施基础等，应明确项目详细建设计划，确保项目顺利开展。</w:t>
      </w:r>
    </w:p>
    <w:p w14:paraId="68047C6B">
      <w:pPr>
        <w:numPr>
          <w:ilvl w:val="0"/>
          <w:numId w:val="0"/>
        </w:numPr>
        <w:adjustRightInd w:val="0"/>
        <w:snapToGrid w:val="0"/>
        <w:spacing w:beforeLines="0" w:afterLines="0" w:line="590" w:lineRule="exact"/>
        <w:ind w:firstLine="0" w:firstLineChars="0"/>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rPr>
        <w:br w:type="page"/>
      </w:r>
      <w:r>
        <w:rPr>
          <w:rFonts w:hint="eastAsia" w:ascii="黑体" w:hAnsi="黑体" w:eastAsia="黑体" w:cs="黑体"/>
          <w:color w:val="auto"/>
          <w:kern w:val="0"/>
          <w:sz w:val="32"/>
          <w:szCs w:val="32"/>
          <w:highlight w:val="none"/>
          <w:lang w:val="en-US" w:eastAsia="zh-CN"/>
        </w:rPr>
        <w:t>附件2</w:t>
      </w:r>
    </w:p>
    <w:p w14:paraId="1E834054">
      <w:p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color w:val="auto"/>
          <w:kern w:val="0"/>
          <w:sz w:val="32"/>
          <w:szCs w:val="32"/>
          <w:lang w:val="en-US" w:eastAsia="zh-CN"/>
        </w:rPr>
      </w:pPr>
    </w:p>
    <w:p w14:paraId="611CD782">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餐桌剩余食物饲料化技术研发与推广应用</w:t>
      </w:r>
    </w:p>
    <w:p w14:paraId="7CDFFD95">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项目入库申报指南</w:t>
      </w:r>
    </w:p>
    <w:p w14:paraId="531A67E5">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0" w:firstLineChars="0"/>
        <w:jc w:val="both"/>
        <w:textAlignment w:val="auto"/>
        <w:outlineLvl w:val="9"/>
        <w:rPr>
          <w:rFonts w:hint="eastAsia" w:ascii="仿宋_GB2312" w:hAnsi="仿宋_GB2312" w:eastAsia="仿宋_GB2312" w:cs="仿宋_GB2312"/>
          <w:bCs/>
          <w:color w:val="FF0000"/>
          <w:kern w:val="0"/>
          <w:sz w:val="32"/>
          <w:szCs w:val="32"/>
          <w:lang w:eastAsia="zh-CN"/>
        </w:rPr>
      </w:pPr>
    </w:p>
    <w:p w14:paraId="366C871D">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14:paraId="5541854A">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sz w:val="32"/>
          <w:szCs w:val="32"/>
        </w:rPr>
        <w:t>深入贯彻习近平总书记关于“保障粮食安全，要在增产和减损两端同时发力，持续深化食物节约各项行动”的重要指示批示精神，落实中共中央、国务院关于深入实施饲用豆粕减量替代行动要求，按照《农业农村部办公厅关于公布饲料中豆粕减量替代典型案例的通知》(农办牧〔2022〕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农村部办公厅关于印发&lt;饲用豆粕减量替代三年行动方案&gt;的通知》（农办牧〔2023〕9号）要求，持续大力推进豆粕减量替代，积极开展新型饲用豆粕减量替代饲料资源开发与应用推广工作，形成有效替代豆粕的综合技术方案并进行示范推广，促进养殖业节粮降耗，保障国家粮食安全。</w:t>
      </w:r>
    </w:p>
    <w:p w14:paraId="3D3E7681">
      <w:pPr>
        <w:numPr>
          <w:ilvl w:val="0"/>
          <w:numId w:val="0"/>
        </w:numPr>
        <w:adjustRightInd w:val="0"/>
        <w:snapToGrid w:val="0"/>
        <w:spacing w:beforeLines="0" w:afterLines="0" w:line="590" w:lineRule="exact"/>
        <w:ind w:firstLine="632" w:firstLineChars="200"/>
        <w:rPr>
          <w:rFonts w:hint="eastAsia" w:ascii="黑体" w:hAnsi="黑体" w:eastAsia="黑体" w:cs="黑体"/>
          <w:kern w:val="0"/>
          <w:szCs w:val="32"/>
          <w:lang w:val="en-US" w:eastAsia="zh-CN"/>
        </w:rPr>
      </w:pPr>
      <w:r>
        <w:rPr>
          <w:rFonts w:hint="eastAsia" w:ascii="黑体" w:hAnsi="黑体" w:eastAsia="黑体" w:cs="黑体"/>
          <w:color w:val="auto"/>
          <w:kern w:val="0"/>
          <w:sz w:val="32"/>
          <w:szCs w:val="32"/>
          <w:lang w:val="en-US" w:eastAsia="zh-CN"/>
        </w:rPr>
        <w:t>二、扶持项目</w:t>
      </w:r>
    </w:p>
    <w:p w14:paraId="3366860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（一）</w:t>
      </w:r>
      <w:r>
        <w:rPr>
          <w:rFonts w:hint="eastAsia" w:ascii="楷体_GB2312" w:hAnsi="楷体_GB2312" w:eastAsia="楷体_GB2312" w:cs="楷体_GB2312"/>
          <w:bCs/>
          <w:snapToGrid w:val="0"/>
          <w:kern w:val="0"/>
          <w:szCs w:val="32"/>
        </w:rPr>
        <w:t>餐桌剩余食物饲料化技术研发与推广应用项目</w:t>
      </w:r>
    </w:p>
    <w:p w14:paraId="1D04E73F">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14:paraId="3B5B38F4">
      <w:pPr>
        <w:pStyle w:val="5"/>
        <w:adjustRightInd w:val="0"/>
        <w:snapToGrid w:val="0"/>
        <w:spacing w:beforeLines="0" w:after="0" w:afterLines="0" w:line="590" w:lineRule="exact"/>
        <w:ind w:left="0" w:leftChars="0" w:firstLine="632" w:firstLineChars="200"/>
        <w:rPr>
          <w:rFonts w:hint="eastAsia" w:ascii="仿宋_GB2312" w:hAnsi="仿宋_GB2312" w:cs="仿宋_GB2312"/>
        </w:rPr>
      </w:pPr>
      <w:r>
        <w:rPr>
          <w:rFonts w:hint="eastAsia" w:ascii="仿宋_GB2312" w:hAnsi="仿宋_GB2312" w:eastAsia="仿宋_GB2312" w:cs="仿宋_GB2312"/>
          <w:i w:val="0"/>
          <w:kern w:val="2"/>
          <w:sz w:val="32"/>
          <w:szCs w:val="24"/>
          <w:u w:val="none"/>
          <w:lang w:val="en-US" w:eastAsia="zh-CN" w:bidi="ar-SA"/>
        </w:rPr>
        <w:t>开展缓解餐桌剩余食物酸败技术的研发、餐桌剩余食物发酵工艺优化、生物安全控制措施优化、</w:t>
      </w:r>
      <w:r>
        <w:rPr>
          <w:rFonts w:hint="eastAsia" w:ascii="仿宋_GB2312" w:hAnsi="仿宋_GB2312" w:eastAsia="仿宋_GB2312" w:cs="仿宋_GB2312"/>
          <w:color w:val="auto"/>
          <w:sz w:val="32"/>
          <w:szCs w:val="32"/>
          <w:lang w:val="en-US" w:eastAsia="zh-CN"/>
        </w:rPr>
        <w:t>豆粕减量</w:t>
      </w:r>
      <w:r>
        <w:rPr>
          <w:rFonts w:hint="eastAsia" w:ascii="仿宋_GB2312" w:hAnsi="仿宋_GB2312" w:cs="仿宋_GB2312"/>
          <w:color w:val="auto"/>
          <w:sz w:val="32"/>
          <w:szCs w:val="32"/>
          <w:lang w:val="en-US" w:eastAsia="zh-CN"/>
        </w:rPr>
        <w:t>饲料配方</w:t>
      </w:r>
      <w:r>
        <w:rPr>
          <w:rFonts w:hint="eastAsia" w:ascii="仿宋_GB2312" w:hAnsi="仿宋_GB2312" w:eastAsia="仿宋_GB2312" w:cs="仿宋_GB2312"/>
          <w:color w:val="auto"/>
          <w:sz w:val="32"/>
          <w:szCs w:val="32"/>
          <w:lang w:val="en-US" w:eastAsia="zh-CN"/>
        </w:rPr>
        <w:t>技术及其在动物生产上的应用参数确定、餐桌剩余食物饲料化生产技术标准的制定</w:t>
      </w:r>
      <w:r>
        <w:rPr>
          <w:rFonts w:hint="eastAsia" w:ascii="仿宋_GB2312" w:hAnsi="仿宋_GB2312" w:cs="仿宋_GB2312"/>
        </w:rPr>
        <w:t>等</w:t>
      </w:r>
      <w:r>
        <w:rPr>
          <w:rFonts w:hint="eastAsia" w:ascii="仿宋_GB2312" w:hAnsi="仿宋_GB2312" w:cs="仿宋_GB2312"/>
          <w:lang w:eastAsia="zh-CN"/>
        </w:rPr>
        <w:t>工作</w:t>
      </w:r>
      <w:r>
        <w:rPr>
          <w:rFonts w:hint="eastAsia" w:ascii="仿宋_GB2312" w:hAnsi="仿宋_GB2312" w:cs="仿宋_GB2312"/>
        </w:rPr>
        <w:t>，最终研发集成餐桌剩余食物发酵饲料工艺关键技术</w:t>
      </w:r>
      <w:r>
        <w:rPr>
          <w:rFonts w:hint="eastAsia" w:ascii="仿宋_GB2312" w:hAnsi="仿宋_GB2312" w:cs="仿宋_GB2312"/>
          <w:lang w:eastAsia="zh-CN"/>
        </w:rPr>
        <w:t>及</w:t>
      </w:r>
      <w:r>
        <w:rPr>
          <w:rFonts w:hint="eastAsia" w:ascii="仿宋_GB2312" w:hAnsi="仿宋_GB2312" w:cs="仿宋_GB2312"/>
        </w:rPr>
        <w:t>豆粕</w:t>
      </w:r>
      <w:r>
        <w:rPr>
          <w:rFonts w:hint="eastAsia" w:ascii="仿宋_GB2312" w:hAnsi="仿宋_GB2312" w:cs="仿宋_GB2312"/>
          <w:lang w:eastAsia="zh-CN"/>
        </w:rPr>
        <w:t>减量替代</w:t>
      </w:r>
      <w:r>
        <w:rPr>
          <w:rFonts w:hint="eastAsia" w:ascii="仿宋_GB2312" w:hAnsi="仿宋_GB2312" w:cs="仿宋_GB2312"/>
        </w:rPr>
        <w:t>应用总体方案，并进行示范推广。</w:t>
      </w:r>
    </w:p>
    <w:p w14:paraId="67C54B13">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14:paraId="00F41F59">
      <w:pPr>
        <w:pStyle w:val="5"/>
        <w:adjustRightInd w:val="0"/>
        <w:snapToGrid w:val="0"/>
        <w:spacing w:beforeLines="0" w:after="0" w:afterLines="0" w:line="590" w:lineRule="exact"/>
        <w:ind w:left="0" w:leftChars="0" w:firstLine="632" w:firstLineChars="200"/>
        <w:rPr>
          <w:rFonts w:hint="eastAsia" w:ascii="仿宋_GB2312" w:hAnsi="仿宋_GB2312" w:cs="仿宋_GB2312"/>
        </w:rPr>
      </w:pPr>
      <w:r>
        <w:rPr>
          <w:rFonts w:hint="eastAsia" w:ascii="仿宋_GB2312" w:hAnsi="仿宋_GB2312" w:cs="仿宋_GB2312"/>
        </w:rPr>
        <w:t>形成缓解餐桌剩余食物酸败的技术1套，餐桌剩余食物发酵饲料工艺1套，豆粕减量在动物养殖中的应用技术方案1套，豆粕减量后节约饲料成本8%以上；建立餐桌剩余食物饲料化试验示范基地1个（年处理餐桌剩余食物5万吨以上）；开展豆粕减量替</w:t>
      </w:r>
      <w:r>
        <w:rPr>
          <w:rFonts w:hint="eastAsia" w:ascii="仿宋_GB2312" w:hAnsi="仿宋_GB2312" w:cs="仿宋_GB2312"/>
          <w:snapToGrid w:val="0"/>
          <w:spacing w:val="-6"/>
          <w:kern w:val="0"/>
        </w:rPr>
        <w:t>代、餐桌剩余食物饲料化、非常规饲料资源开发等技术培训1-2次。</w:t>
      </w:r>
    </w:p>
    <w:p w14:paraId="176C7F9D">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3.</w:t>
      </w:r>
      <w:r>
        <w:rPr>
          <w:rFonts w:hint="eastAsia" w:ascii="仿宋_GB2312" w:hAnsi="仿宋_GB2312" w:eastAsia="仿宋_GB2312" w:cs="仿宋_GB2312"/>
          <w:color w:val="auto"/>
          <w:kern w:val="0"/>
          <w:sz w:val="32"/>
          <w:szCs w:val="32"/>
        </w:rPr>
        <w:t>申报对象及条件</w:t>
      </w:r>
    </w:p>
    <w:p w14:paraId="6E4200CB">
      <w:pPr>
        <w:numPr>
          <w:ilvl w:val="0"/>
          <w:numId w:val="0"/>
        </w:numPr>
        <w:adjustRightInd w:val="0"/>
        <w:snapToGrid w:val="0"/>
        <w:spacing w:beforeLines="0" w:afterLines="0" w:line="590" w:lineRule="exact"/>
        <w:ind w:left="0"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1）项目申报单位须为</w:t>
      </w:r>
      <w:r>
        <w:rPr>
          <w:rFonts w:hint="eastAsia" w:ascii="仿宋_GB2312" w:hAnsi="仿宋_GB2312" w:eastAsia="仿宋_GB2312" w:cs="仿宋_GB2312"/>
          <w:sz w:val="32"/>
          <w:szCs w:val="32"/>
        </w:rPr>
        <w:t>省内</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具备独立法人资质的高等院校、科研院所或</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rPr>
        <w:t>事业单位。</w:t>
      </w:r>
    </w:p>
    <w:p w14:paraId="355E7110">
      <w:pPr>
        <w:pStyle w:val="5"/>
        <w:numPr>
          <w:ilvl w:val="0"/>
          <w:numId w:val="0"/>
        </w:numPr>
        <w:adjustRightInd w:val="0"/>
        <w:snapToGrid w:val="0"/>
        <w:spacing w:beforeLines="0" w:after="0" w:afterLines="0" w:line="590" w:lineRule="exact"/>
        <w:ind w:left="0" w:leftChars="0" w:firstLine="0" w:firstLineChars="0"/>
        <w:rPr>
          <w:rFonts w:hint="eastAsia" w:ascii="仿宋_GB2312" w:hAnsi="仿宋_GB2312" w:cs="仿宋_GB231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）项目申报单位</w:t>
      </w:r>
      <w:r>
        <w:rPr>
          <w:rFonts w:hint="eastAsia" w:ascii="仿宋_GB2312" w:hAnsi="仿宋_GB2312" w:cs="仿宋_GB2312"/>
          <w:sz w:val="32"/>
          <w:szCs w:val="32"/>
          <w:lang w:val="en-US" w:eastAsia="zh-CN"/>
        </w:rPr>
        <w:t>应在</w:t>
      </w:r>
      <w:r>
        <w:rPr>
          <w:rFonts w:hint="eastAsia" w:ascii="仿宋_GB2312" w:hAnsi="仿宋_GB2312" w:cs="仿宋_GB2312"/>
          <w:szCs w:val="32"/>
          <w:lang w:val="zh-TW" w:eastAsia="zh-CN"/>
        </w:rPr>
        <w:t>饲料领域具有显著优势，具备较强的研究开发实力或资源整合能力。有相关研究基础并建有饲料研发平台的优先考虑</w:t>
      </w:r>
      <w:r>
        <w:rPr>
          <w:rFonts w:hint="eastAsia" w:ascii="仿宋_GB2312" w:hAnsi="仿宋_GB2312" w:cs="仿宋_GB2312"/>
          <w:szCs w:val="32"/>
        </w:rPr>
        <w:t>。</w:t>
      </w:r>
    </w:p>
    <w:p w14:paraId="0A302268">
      <w:pPr>
        <w:pStyle w:val="5"/>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szCs w:val="32"/>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cs="仿宋_GB2312"/>
          <w:szCs w:val="32"/>
        </w:rPr>
        <w:t>承担我省相关项目逾期未验收或验收</w:t>
      </w:r>
      <w:r>
        <w:rPr>
          <w:rFonts w:hint="eastAsia" w:ascii="仿宋_GB2312" w:hAnsi="仿宋_GB2312" w:cs="仿宋_GB2312"/>
          <w:szCs w:val="32"/>
          <w:lang w:eastAsia="zh-CN"/>
        </w:rPr>
        <w:t>未</w:t>
      </w:r>
      <w:r>
        <w:rPr>
          <w:rFonts w:hint="eastAsia" w:ascii="仿宋_GB2312" w:hAnsi="仿宋_GB2312" w:cs="仿宋_GB2312"/>
          <w:szCs w:val="32"/>
        </w:rPr>
        <w:t>通过的单位不得申报。</w:t>
      </w:r>
    </w:p>
    <w:p w14:paraId="5BF6270B">
      <w:pPr>
        <w:pStyle w:val="9"/>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color w:val="auto"/>
          <w:kern w:val="0"/>
          <w:sz w:val="32"/>
          <w:szCs w:val="32"/>
          <w:highlight w:val="none"/>
          <w:lang w:val="en-US" w:eastAsia="zh-CN"/>
        </w:rPr>
        <w:t>4.补助资金标准</w:t>
      </w:r>
    </w:p>
    <w:p w14:paraId="7CB7F3B0">
      <w:pPr>
        <w:pStyle w:val="9"/>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 w:val="32"/>
          <w:szCs w:val="32"/>
          <w:lang w:val="zh-CN" w:eastAsia="zh-CN" w:bidi="ar-SA"/>
        </w:rPr>
        <w:t>项目资金额度不超过</w:t>
      </w:r>
      <w:r>
        <w:rPr>
          <w:rFonts w:hint="eastAsia" w:ascii="仿宋_GB2312" w:hAnsi="仿宋_GB2312" w:eastAsia="仿宋_GB2312" w:cs="仿宋_GB2312"/>
          <w:kern w:val="0"/>
          <w:sz w:val="32"/>
          <w:szCs w:val="32"/>
          <w:lang w:val="en-US" w:eastAsia="zh-CN" w:bidi="ar-SA"/>
        </w:rPr>
        <w:t>240</w:t>
      </w:r>
      <w:r>
        <w:rPr>
          <w:rFonts w:hint="eastAsia" w:ascii="仿宋_GB2312" w:hAnsi="仿宋_GB2312" w:eastAsia="仿宋_GB2312" w:cs="仿宋_GB2312"/>
          <w:kern w:val="0"/>
          <w:sz w:val="32"/>
          <w:szCs w:val="32"/>
          <w:lang w:val="zh-CN" w:eastAsia="zh-CN" w:bidi="ar-SA"/>
        </w:rPr>
        <w:t>万元。</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5D328869">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三、申报材料要求</w:t>
      </w:r>
    </w:p>
    <w:p w14:paraId="3120E5E1">
      <w:pPr>
        <w:pStyle w:val="5"/>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szCs w:val="32"/>
          <w:lang w:eastAsia="zh-CN"/>
        </w:rPr>
      </w:pPr>
      <w:r>
        <w:rPr>
          <w:rFonts w:hint="eastAsia" w:ascii="仿宋_GB2312" w:hAnsi="仿宋_GB2312" w:cs="仿宋_GB2312"/>
          <w:szCs w:val="32"/>
          <w:lang w:val="en-US" w:eastAsia="zh-CN"/>
        </w:rPr>
        <w:t>1.</w:t>
      </w:r>
      <w:r>
        <w:rPr>
          <w:rFonts w:hint="eastAsia" w:ascii="仿宋_GB2312" w:hAnsi="仿宋_GB2312" w:eastAsia="仿宋_GB2312" w:cs="仿宋_GB2312"/>
          <w:bCs w:val="0"/>
          <w:snapToGrid/>
          <w:kern w:val="2"/>
          <w:szCs w:val="32"/>
        </w:rPr>
        <w:t>餐桌剩余食物饲料化技术研发与推广应用项目</w:t>
      </w:r>
      <w:r>
        <w:rPr>
          <w:rFonts w:hint="eastAsia" w:ascii="仿宋_GB2312" w:hAnsi="仿宋_GB2312" w:cs="仿宋_GB2312"/>
          <w:szCs w:val="32"/>
          <w:lang w:eastAsia="zh-CN"/>
        </w:rPr>
        <w:t>请使用第9类《农业科研类及技术推广示范类项目申报书模板》编写项目申报书。</w:t>
      </w:r>
    </w:p>
    <w:p w14:paraId="3E4AB204">
      <w:pPr>
        <w:pStyle w:val="5"/>
        <w:adjustRightInd w:val="0"/>
        <w:snapToGrid w:val="0"/>
        <w:spacing w:beforeLines="0" w:after="0" w:afterLines="0" w:line="590" w:lineRule="exact"/>
        <w:ind w:left="0" w:leftChars="0"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2.项目申报书中应详细介绍项目申报团队现有的能够为项目高质量开展提供的人员基础、技术支撑基础、理论基础和硬件设施基础等，应明确项目详细建设计划，确保项目顺利开展。</w:t>
      </w:r>
    </w:p>
    <w:p w14:paraId="1F584759">
      <w:pPr>
        <w:pStyle w:val="5"/>
        <w:adjustRightInd w:val="0"/>
        <w:snapToGrid w:val="0"/>
        <w:spacing w:beforeLines="0" w:after="0" w:afterLines="0" w:line="590" w:lineRule="exact"/>
        <w:ind w:left="0" w:leftChars="0"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3.相关资质证明材料。</w:t>
      </w:r>
    </w:p>
    <w:p w14:paraId="2A72150D">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sectPr>
          <w:footerReference r:id="rId4" w:type="first"/>
          <w:footerReference r:id="rId3" w:type="default"/>
          <w:pgSz w:w="11906" w:h="16838"/>
          <w:pgMar w:top="1871" w:right="1531" w:bottom="1871" w:left="1531" w:header="851" w:footer="1417" w:gutter="0"/>
          <w:pgNumType w:fmt="decimal" w:start="2"/>
          <w:cols w:space="720" w:num="1"/>
          <w:titlePg/>
          <w:rtlGutter w:val="0"/>
          <w:docGrid w:type="linesAndChars" w:linePitch="590" w:charSpace="-1024"/>
        </w:sectPr>
      </w:pPr>
    </w:p>
    <w:p w14:paraId="341578D3">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default"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附件3</w:t>
      </w:r>
    </w:p>
    <w:p w14:paraId="4B250FDD">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pPr>
    </w:p>
    <w:p w14:paraId="576EFA90">
      <w:pPr>
        <w:pStyle w:val="2"/>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2025年乡村振兴战略专项省级组织实施项目</w:t>
      </w:r>
    </w:p>
    <w:p w14:paraId="6FDB3BCB">
      <w:pPr>
        <w:pStyle w:val="2"/>
        <w:keepNext w:val="0"/>
        <w:keepLines w:val="0"/>
        <w:adjustRightInd w:val="0"/>
        <w:snapToGrid w:val="0"/>
        <w:spacing w:before="0" w:beforeLines="0" w:after="0" w:afterLines="0" w:line="590" w:lineRule="exact"/>
        <w:ind w:firstLine="0"/>
        <w:jc w:val="center"/>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（第一批）入库申报汇总表</w:t>
      </w:r>
    </w:p>
    <w:p w14:paraId="7902800B">
      <w:pPr>
        <w:pStyle w:val="2"/>
        <w:keepNext w:val="0"/>
        <w:keepLines w:val="0"/>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000000"/>
          <w:kern w:val="0"/>
          <w:sz w:val="32"/>
          <w:szCs w:val="32"/>
          <w:u w:val="none"/>
          <w:lang w:val="en-US" w:eastAsia="zh-CN" w:bidi="ar"/>
        </w:rPr>
      </w:pPr>
    </w:p>
    <w:p w14:paraId="25850DCD">
      <w:pPr>
        <w:pStyle w:val="2"/>
        <w:keepNext w:val="0"/>
        <w:keepLines w:val="0"/>
        <w:adjustRightInd w:val="0"/>
        <w:snapToGrid w:val="0"/>
        <w:spacing w:before="0" w:beforeLines="0" w:after="0" w:afterLines="0" w:line="590" w:lineRule="exact"/>
        <w:ind w:firstLine="0" w:firstLineChars="0"/>
        <w:jc w:val="left"/>
        <w:rPr>
          <w:rFonts w:hint="eastAsia" w:ascii="方正小标宋简体" w:hAnsi="方正小标宋简体" w:eastAsia="方正小标宋简体" w:cs="方正小标宋简体"/>
          <w:b w:val="0"/>
          <w:bCs w:val="0"/>
          <w:color w:val="000000"/>
          <w:kern w:val="0"/>
          <w:sz w:val="24"/>
          <w:szCs w:val="24"/>
          <w:lang w:bidi="ar"/>
        </w:rPr>
      </w:pPr>
      <w:r>
        <w:rPr>
          <w:rFonts w:hint="eastAsia" w:ascii="仿宋_GB2312" w:hAnsi="宋体" w:eastAsia="仿宋_GB2312" w:cs="仿宋_GB2312"/>
          <w:b w:val="0"/>
          <w:bCs w:val="0"/>
          <w:i w:val="0"/>
          <w:color w:val="000000"/>
          <w:kern w:val="0"/>
          <w:sz w:val="24"/>
          <w:szCs w:val="24"/>
          <w:u w:val="none"/>
          <w:lang w:val="en-US" w:eastAsia="zh-CN" w:bidi="ar"/>
        </w:rPr>
        <w:t>项目申报单位（省直单位）：</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47"/>
        <w:gridCol w:w="1242"/>
        <w:gridCol w:w="1502"/>
        <w:gridCol w:w="1286"/>
        <w:gridCol w:w="1441"/>
        <w:gridCol w:w="1909"/>
        <w:gridCol w:w="1909"/>
        <w:gridCol w:w="1769"/>
        <w:gridCol w:w="1013"/>
      </w:tblGrid>
      <w:tr w14:paraId="548C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blHeader/>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14:paraId="750D34DB">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类别</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46643A2">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资金方向</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B612737">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扶持项目类型</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3BD85B2">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DA0B76">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项目承担单位</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5EEBA46">
            <w:pPr>
              <w:keepNext w:val="0"/>
              <w:keepLines w:val="0"/>
              <w:widowControl w:val="0"/>
              <w:suppressLineNumbers w:val="0"/>
              <w:adjustRightInd w:val="0"/>
              <w:snapToGrid w:val="0"/>
              <w:spacing w:beforeLines="0" w:afterLines="0" w:line="320" w:lineRule="exact"/>
              <w:jc w:val="center"/>
              <w:textAlignment w:val="center"/>
              <w:rPr>
                <w:rFonts w:hint="default"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项目负责人</w:t>
            </w:r>
            <w:bookmarkStart w:id="1" w:name="_GoBack"/>
            <w:bookmarkEnd w:id="1"/>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66C6D86">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建设内容</w:t>
            </w:r>
          </w:p>
          <w:p w14:paraId="509B258C">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EF91BD9">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绩效目标</w:t>
            </w:r>
          </w:p>
          <w:p w14:paraId="08D4B8AB">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BF11508">
            <w:pPr>
              <w:keepNext w:val="0"/>
              <w:keepLines w:val="0"/>
              <w:widowControl w:val="0"/>
              <w:suppressLineNumbers w:val="0"/>
              <w:adjustRightInd w:val="0"/>
              <w:snapToGrid w:val="0"/>
              <w:spacing w:beforeLines="0" w:afterLines="0" w:line="32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申请金额</w:t>
            </w:r>
          </w:p>
        </w:tc>
      </w:tr>
      <w:tr w14:paraId="59B8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jc w:val="center"/>
        </w:trPr>
        <w:tc>
          <w:tcPr>
            <w:tcW w:w="399" w:type="pct"/>
            <w:vMerge w:val="restart"/>
            <w:tcBorders>
              <w:top w:val="single" w:color="000000" w:sz="4" w:space="0"/>
              <w:left w:val="single" w:color="000000" w:sz="4" w:space="0"/>
              <w:right w:val="single" w:color="000000" w:sz="4" w:space="0"/>
            </w:tcBorders>
            <w:noWrap w:val="0"/>
            <w:vAlign w:val="center"/>
          </w:tcPr>
          <w:p w14:paraId="12E89CA2">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p>
          <w:p w14:paraId="402001F0">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p>
          <w:p w14:paraId="6BD14E4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p>
          <w:p w14:paraId="3416225B">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lang w:bidi="ar"/>
              </w:rPr>
              <w:t>2025年乡村振兴战略专项省级组织实施项目</w:t>
            </w:r>
          </w:p>
          <w:p w14:paraId="781804A1">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sz w:val="21"/>
              </w:rPr>
              <mc:AlternateContent>
                <mc:Choice Requires="wps">
                  <w:drawing>
                    <wp:anchor distT="0" distB="0" distL="114300" distR="114300" simplePos="0" relativeHeight="251659264" behindDoc="0" locked="0" layoutInCell="1" allowOverlap="1">
                      <wp:simplePos x="0" y="0"/>
                      <wp:positionH relativeFrom="column">
                        <wp:posOffset>-829310</wp:posOffset>
                      </wp:positionH>
                      <wp:positionV relativeFrom="paragraph">
                        <wp:posOffset>850265</wp:posOffset>
                      </wp:positionV>
                      <wp:extent cx="600075" cy="10096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0075" cy="1009650"/>
                              </a:xfrm>
                              <a:prstGeom prst="rect">
                                <a:avLst/>
                              </a:prstGeom>
                              <a:noFill/>
                              <a:ln w="15875">
                                <a:noFill/>
                              </a:ln>
                            </wps:spPr>
                            <wps:txbx>
                              <w:txbxContent>
                                <w:p w14:paraId="1069938B">
                                  <w:pPr>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13 —</w:t>
                                  </w:r>
                                </w:p>
                              </w:txbxContent>
                            </wps:txbx>
                            <wps:bodyPr vert="eaVert" upright="1"/>
                          </wps:wsp>
                        </a:graphicData>
                      </a:graphic>
                    </wp:anchor>
                  </w:drawing>
                </mc:Choice>
                <mc:Fallback>
                  <w:pict>
                    <v:shape id="_x0000_s1026" o:spid="_x0000_s1026" o:spt="202" type="#_x0000_t202" style="position:absolute;left:0pt;margin-left:-65.3pt;margin-top:66.95pt;height:79.5pt;width:47.25pt;z-index:251659264;mso-width-relative:page;mso-height-relative:page;" filled="f" stroked="f" coordsize="21600,21600" o:gfxdata="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DmzU90AAAAMAQAADwAAAAAAAAABACAAAAAiAAAAZHJzL2Rvd25yZXYu&#10;eG1sUEsBAhQAFAAAAAgAh07iQCfrATW9AQAAZgMAAA4AAAAAAAAAAQAgAAAALAEAAGRycy9lMm9E&#10;b2MueG1sUEsFBgAAAAAGAAYAWQEAAFsFAAAAAA==&#10;">
                      <v:fill on="f" focussize="0,0"/>
                      <v:stroke on="f" weight="1.25pt"/>
                      <v:imagedata o:title=""/>
                      <o:lock v:ext="edit" aspectratio="f"/>
                      <v:textbox style="layout-flow:vertical-ideographic;">
                        <w:txbxContent>
                          <w:p w14:paraId="1069938B">
                            <w:pPr>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13 —</w:t>
                            </w:r>
                          </w:p>
                        </w:txbxContent>
                      </v:textbox>
                    </v:shape>
                  </w:pict>
                </mc:Fallback>
              </mc:AlternateContent>
            </w:r>
            <w:r>
              <w:rPr>
                <w:rFonts w:hint="eastAsia" w:ascii="仿宋_GB2312" w:hAnsi="仿宋_GB2312" w:eastAsia="仿宋_GB2312" w:cs="仿宋_GB2312"/>
                <w:b w:val="0"/>
                <w:bCs w:val="0"/>
                <w:color w:val="000000"/>
                <w:kern w:val="0"/>
                <w:sz w:val="21"/>
                <w:szCs w:val="21"/>
                <w:lang w:bidi="ar"/>
              </w:rPr>
              <w:t>（第一批</w:t>
            </w:r>
            <w:r>
              <w:rPr>
                <w:rFonts w:hint="eastAsia" w:ascii="仿宋_GB2312" w:hAnsi="仿宋_GB2312" w:eastAsia="仿宋_GB2312" w:cs="仿宋_GB2312"/>
                <w:b w:val="0"/>
                <w:bCs w:val="0"/>
                <w:color w:val="000000"/>
                <w:kern w:val="0"/>
                <w:sz w:val="21"/>
                <w:szCs w:val="21"/>
                <w:u w:val="none"/>
                <w:lang w:bidi="ar"/>
              </w:rPr>
              <w:t>）</w:t>
            </w:r>
          </w:p>
        </w:tc>
        <w:tc>
          <w:tcPr>
            <w:tcW w:w="473" w:type="pct"/>
            <w:vMerge w:val="restart"/>
            <w:tcBorders>
              <w:top w:val="single" w:color="000000" w:sz="4" w:space="0"/>
              <w:left w:val="single" w:color="000000" w:sz="4" w:space="0"/>
              <w:right w:val="single" w:color="000000" w:sz="4" w:space="0"/>
            </w:tcBorders>
            <w:noWrap w:val="0"/>
            <w:vAlign w:val="center"/>
          </w:tcPr>
          <w:p w14:paraId="6A18C689">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eastAsia="zh-CN" w:bidi="ar"/>
              </w:rPr>
              <w:t>一、</w:t>
            </w:r>
            <w:r>
              <w:rPr>
                <w:rFonts w:hint="eastAsia" w:ascii="仿宋_GB2312" w:hAnsi="仿宋_GB2312" w:eastAsia="仿宋_GB2312" w:cs="仿宋_GB2312"/>
                <w:b w:val="0"/>
                <w:bCs w:val="0"/>
                <w:kern w:val="0"/>
                <w:sz w:val="21"/>
                <w:szCs w:val="21"/>
                <w:highlight w:val="none"/>
              </w:rPr>
              <w:t>农作物病虫疫情防控和农药研究项目</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7A0E1702">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bidi="ar"/>
              </w:rPr>
              <w:t>1.</w:t>
            </w:r>
            <w:r>
              <w:rPr>
                <w:rFonts w:hint="eastAsia" w:ascii="仿宋_GB2312" w:hAnsi="仿宋_GB2312" w:eastAsia="仿宋_GB2312" w:cs="仿宋_GB2312"/>
                <w:b w:val="0"/>
                <w:bCs w:val="0"/>
                <w:snapToGrid w:val="0"/>
                <w:kern w:val="0"/>
                <w:sz w:val="21"/>
                <w:szCs w:val="21"/>
                <w:lang w:val="en-US" w:eastAsia="zh-CN"/>
              </w:rPr>
              <w:t>水稻病虫害防控</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87DC38A">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467568">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5E23455">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DB7AAE9">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471AEAE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4DED31B">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14:paraId="38EF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jc w:val="center"/>
        </w:trPr>
        <w:tc>
          <w:tcPr>
            <w:tcW w:w="399" w:type="pct"/>
            <w:vMerge w:val="continue"/>
            <w:tcBorders>
              <w:left w:val="single" w:color="000000" w:sz="4" w:space="0"/>
              <w:right w:val="single" w:color="000000" w:sz="4" w:space="0"/>
            </w:tcBorders>
            <w:noWrap w:val="0"/>
            <w:vAlign w:val="center"/>
          </w:tcPr>
          <w:p w14:paraId="55867F45">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73" w:type="pct"/>
            <w:vMerge w:val="continue"/>
            <w:tcBorders>
              <w:left w:val="single" w:color="000000" w:sz="4" w:space="0"/>
              <w:bottom w:val="single" w:color="000000" w:sz="4" w:space="0"/>
              <w:right w:val="single" w:color="000000" w:sz="4" w:space="0"/>
            </w:tcBorders>
            <w:noWrap w:val="0"/>
            <w:vAlign w:val="center"/>
          </w:tcPr>
          <w:p w14:paraId="48669B56">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13D4432">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u w:val="none"/>
                <w:lang w:val="en-US" w:eastAsia="zh-CN" w:bidi="ar"/>
              </w:rPr>
              <w:t>2.</w:t>
            </w:r>
            <w:r>
              <w:rPr>
                <w:rFonts w:hint="eastAsia" w:ascii="仿宋_GB2312" w:hAnsi="仿宋_GB2312" w:eastAsia="仿宋_GB2312" w:cs="仿宋_GB2312"/>
                <w:b w:val="0"/>
                <w:bCs w:val="0"/>
                <w:snapToGrid w:val="0"/>
                <w:kern w:val="0"/>
                <w:sz w:val="21"/>
                <w:szCs w:val="21"/>
                <w:lang w:val="en-US" w:eastAsia="zh-CN"/>
              </w:rPr>
              <w:t>农业检疫性有害生物防控与农药试验研究</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5730C13">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C6024F8">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025AD13">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EA0036C">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2CDD5A2">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184E93D">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14:paraId="6506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jc w:val="center"/>
        </w:trPr>
        <w:tc>
          <w:tcPr>
            <w:tcW w:w="399" w:type="pct"/>
            <w:vMerge w:val="continue"/>
            <w:tcBorders>
              <w:left w:val="single" w:color="000000" w:sz="4" w:space="0"/>
              <w:bottom w:val="single" w:color="auto" w:sz="4" w:space="0"/>
              <w:right w:val="single" w:color="000000" w:sz="4" w:space="0"/>
            </w:tcBorders>
            <w:noWrap w:val="0"/>
            <w:vAlign w:val="center"/>
          </w:tcPr>
          <w:p w14:paraId="710FF30D">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473" w:type="pct"/>
            <w:tcBorders>
              <w:left w:val="single" w:color="000000" w:sz="4" w:space="0"/>
              <w:bottom w:val="single" w:color="auto" w:sz="4" w:space="0"/>
              <w:right w:val="single" w:color="000000" w:sz="4" w:space="0"/>
            </w:tcBorders>
            <w:noWrap w:val="0"/>
            <w:vAlign w:val="center"/>
          </w:tcPr>
          <w:p w14:paraId="67BE0178">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二、</w:t>
            </w:r>
            <w:r>
              <w:rPr>
                <w:rFonts w:hint="eastAsia" w:ascii="仿宋_GB2312" w:hAnsi="仿宋_GB2312" w:eastAsia="仿宋_GB2312" w:cs="仿宋_GB2312"/>
                <w:b w:val="0"/>
                <w:bCs w:val="0"/>
                <w:color w:val="000000"/>
                <w:kern w:val="0"/>
                <w:sz w:val="21"/>
                <w:szCs w:val="21"/>
                <w:highlight w:val="none"/>
                <w:lang w:bidi="ar"/>
              </w:rPr>
              <w:t>餐桌剩余食物饲料化技术研发与推广应用项目</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1E35A5A9">
            <w:pPr>
              <w:widowControl w:val="0"/>
              <w:adjustRightInd w:val="0"/>
              <w:snapToGrid w:val="0"/>
              <w:spacing w:beforeLines="0" w:afterLines="0" w:line="320" w:lineRule="exact"/>
              <w:ind w:left="0" w:leftChars="0" w:firstLine="0" w:firstLineChars="0"/>
              <w:jc w:val="both"/>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u w:val="none"/>
                <w:lang w:val="en-US" w:eastAsia="zh-CN" w:bidi="ar"/>
              </w:rPr>
              <w:t>1.</w:t>
            </w:r>
            <w:r>
              <w:rPr>
                <w:rFonts w:hint="eastAsia" w:ascii="仿宋_GB2312" w:hAnsi="仿宋_GB2312" w:eastAsia="仿宋_GB2312" w:cs="仿宋_GB2312"/>
                <w:b w:val="0"/>
                <w:bCs w:val="0"/>
                <w:color w:val="000000"/>
                <w:kern w:val="0"/>
                <w:sz w:val="21"/>
                <w:szCs w:val="21"/>
                <w:lang w:bidi="ar"/>
              </w:rPr>
              <w:t>餐桌剩余食物饲料化技术研发与推广应用</w:t>
            </w:r>
          </w:p>
          <w:p w14:paraId="185D35D8">
            <w:pPr>
              <w:keepNext w:val="0"/>
              <w:keepLines w:val="0"/>
              <w:widowControl w:val="0"/>
              <w:suppressLineNumbers w:val="0"/>
              <w:adjustRightInd w:val="0"/>
              <w:snapToGrid w:val="0"/>
              <w:spacing w:beforeLines="0" w:afterLines="0" w:line="320" w:lineRule="exact"/>
              <w:jc w:val="both"/>
              <w:textAlignment w:val="center"/>
              <w:rPr>
                <w:rFonts w:hint="eastAsia"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b w:val="0"/>
                <w:bCs w:val="0"/>
                <w:color w:val="000000"/>
                <w:kern w:val="0"/>
                <w:sz w:val="21"/>
                <w:szCs w:val="21"/>
                <w:lang w:bidi="ar"/>
              </w:rPr>
              <w:t>项目</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59595F5">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A568A4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F1BC870">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903162E">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2EF5FED4">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F07F83B">
            <w:pPr>
              <w:keepNext w:val="0"/>
              <w:keepLines w:val="0"/>
              <w:widowControl w:val="0"/>
              <w:suppressLineNumbers w:val="0"/>
              <w:adjustRightInd w:val="0"/>
              <w:snapToGrid w:val="0"/>
              <w:spacing w:beforeLines="0" w:afterLines="0" w:line="32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cr/>
            </w:r>
          </w:p>
        </w:tc>
      </w:tr>
    </w:tbl>
    <w:p w14:paraId="02EED887">
      <w:bookmarkStart w:id="0" w:name="F_CSDW"/>
      <w:bookmarkEnd w:id="0"/>
    </w:p>
    <w:sectPr>
      <w:footerReference r:id="rId6" w:type="first"/>
      <w:footerReference r:id="rId5" w:type="default"/>
      <w:pgSz w:w="16838" w:h="11906" w:orient="landscape"/>
      <w:pgMar w:top="1531" w:right="1871" w:bottom="1531" w:left="1871" w:header="851" w:footer="1418"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5509">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3FFED0">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3FFED0">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15B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0602D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F0602D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219F">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73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3E6D5835"/>
    <w:rsid w:val="605C105E"/>
    <w:rsid w:val="6433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Calibri"/>
    </w:r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next w:val="1"/>
    <w:qFormat/>
    <w:uiPriority w:val="0"/>
    <w:pPr>
      <w:ind w:firstLine="420" w:firstLineChars="200"/>
    </w:pPr>
    <w:rPr>
      <w:rFonts w:ascii="Times New Roman" w:hAnsi="Times New Roman"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10">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2651</Words>
  <Characters>2718</Characters>
  <Lines>0</Lines>
  <Paragraphs>0</Paragraphs>
  <TotalTime>0</TotalTime>
  <ScaleCrop>false</ScaleCrop>
  <LinksUpToDate>false</LinksUpToDate>
  <CharactersWithSpaces>2722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2024-08-09T01:08:00Z</dcterms:created>
  <dc:creator>wuyin</dc:creator>
  <cp:lastModifiedBy>lzh</cp:lastModifiedBy>
  <dcterms:modified xsi:type="dcterms:W3CDTF">2024-08-12T04:17:38Z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F3663C2E84324E608AA8F0858E2AE231_13</vt:lpwstr>
  </property>
</Properties>
</file>