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482" w:rsidRDefault="00B17482" w:rsidP="00B17482">
      <w:pPr>
        <w:spacing w:line="720" w:lineRule="exact"/>
        <w:jc w:val="center"/>
        <w:rPr>
          <w:rFonts w:ascii="宋体" w:hAnsi="宋体"/>
          <w:b/>
          <w:sz w:val="44"/>
          <w:szCs w:val="44"/>
        </w:rPr>
      </w:pPr>
      <w:r>
        <w:rPr>
          <w:rFonts w:ascii="宋体" w:hAnsi="宋体" w:hint="eastAsia"/>
          <w:b/>
          <w:sz w:val="44"/>
          <w:szCs w:val="44"/>
        </w:rPr>
        <w:t>华南农业大学省部级以上科研平台考核评估管理办法（试行）</w:t>
      </w:r>
    </w:p>
    <w:p w:rsidR="00B17482" w:rsidRDefault="00B17482" w:rsidP="00B17482">
      <w:pPr>
        <w:spacing w:line="480" w:lineRule="exact"/>
        <w:rPr>
          <w:rFonts w:ascii="仿宋_GB2312" w:eastAsia="仿宋_GB2312" w:hAnsi="仿宋" w:cs="仿宋"/>
          <w:b/>
          <w:bCs/>
          <w:sz w:val="28"/>
          <w:szCs w:val="28"/>
        </w:rPr>
      </w:pPr>
    </w:p>
    <w:p w:rsidR="00B17482" w:rsidRDefault="00B17482" w:rsidP="00B17482">
      <w:pPr>
        <w:spacing w:line="480" w:lineRule="exact"/>
        <w:ind w:left="1"/>
        <w:jc w:val="center"/>
        <w:rPr>
          <w:rFonts w:ascii="宋体" w:hAnsi="宋体" w:cs="仿宋"/>
          <w:b/>
          <w:bCs/>
          <w:sz w:val="32"/>
          <w:szCs w:val="32"/>
        </w:rPr>
      </w:pPr>
      <w:r>
        <w:rPr>
          <w:rFonts w:ascii="宋体" w:hAnsi="宋体" w:cs="仿宋" w:hint="eastAsia"/>
          <w:b/>
          <w:bCs/>
          <w:sz w:val="32"/>
          <w:szCs w:val="32"/>
        </w:rPr>
        <w:t>第一章  总  则</w:t>
      </w:r>
    </w:p>
    <w:p w:rsidR="00B17482" w:rsidRDefault="00B17482" w:rsidP="00B17482">
      <w:pPr>
        <w:spacing w:line="480" w:lineRule="exact"/>
        <w:ind w:left="2047"/>
        <w:rPr>
          <w:rFonts w:ascii="仿宋_GB2312" w:eastAsia="仿宋_GB2312" w:hAnsi="仿宋" w:cs="仿宋"/>
          <w:b/>
          <w:bCs/>
          <w:sz w:val="32"/>
          <w:szCs w:val="32"/>
        </w:rPr>
      </w:pP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第一条</w:t>
      </w:r>
      <w:r>
        <w:rPr>
          <w:rFonts w:ascii="仿宋_GB2312" w:eastAsia="仿宋_GB2312" w:hAnsi="仿宋" w:cs="仿宋" w:hint="eastAsia"/>
          <w:sz w:val="32"/>
          <w:szCs w:val="32"/>
        </w:rPr>
        <w:t xml:space="preserve">  为进一步规范学校省部级以上科研平台的运行管理，促进学校科研平台的有序建设和健康发展，提升学科建设水平，深化“三全育人”综合改革，根据《国家重点实验室建设与运行管理办法》《国家工程技术研究中心管理办法》《教育部重点实验室管理办法》《教育部工程研究中心建设与运行管理办法》《农业农村部重点实验室管理办法》《广东省重点实验室管理办法》和《广东省工程技术研究中心管理办法》等省部级以上科研平台主管部门的相关管理规定，结合学校实际，特制定本办法。</w:t>
      </w: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 xml:space="preserve">第二条  </w:t>
      </w:r>
      <w:r>
        <w:rPr>
          <w:rFonts w:ascii="仿宋_GB2312" w:eastAsia="仿宋_GB2312" w:hAnsi="仿宋" w:cs="仿宋" w:hint="eastAsia"/>
          <w:sz w:val="32"/>
          <w:szCs w:val="32"/>
        </w:rPr>
        <w:t>考核评估的目的是为了全面了解和检查省部级以上科研平台近</w:t>
      </w:r>
      <w:r>
        <w:rPr>
          <w:rFonts w:eastAsia="仿宋_GB2312"/>
          <w:sz w:val="32"/>
          <w:szCs w:val="32"/>
        </w:rPr>
        <w:t>3</w:t>
      </w:r>
      <w:r>
        <w:rPr>
          <w:rFonts w:ascii="仿宋_GB2312" w:eastAsia="仿宋_GB2312" w:hAnsi="仿宋" w:cs="仿宋" w:hint="eastAsia"/>
          <w:sz w:val="32"/>
          <w:szCs w:val="32"/>
        </w:rPr>
        <w:t>年的运行状况，总结成绩与经验，发现问题与不足，重点考核平台的研究水平与科研贡献、队伍建设与人才培养、开放交流与运行管理等，促进平台可持续发展。</w:t>
      </w: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 xml:space="preserve">第三条  </w:t>
      </w:r>
      <w:r>
        <w:rPr>
          <w:rFonts w:ascii="仿宋_GB2312" w:eastAsia="仿宋_GB2312" w:hAnsi="仿宋" w:cs="仿宋" w:hint="eastAsia"/>
          <w:bCs/>
          <w:sz w:val="32"/>
          <w:szCs w:val="32"/>
        </w:rPr>
        <w:t>学校</w:t>
      </w:r>
      <w:r>
        <w:rPr>
          <w:rFonts w:ascii="仿宋_GB2312" w:eastAsia="仿宋_GB2312" w:hAnsi="仿宋" w:cs="仿宋" w:hint="eastAsia"/>
          <w:sz w:val="32"/>
          <w:szCs w:val="32"/>
        </w:rPr>
        <w:t>重点实验室建设办公室（以下简称“重点办”）是组织考核评估的主管部门，负责考核评估的组织实施，制定考核评估规则和工作规程，发布考核评估结果等。</w:t>
      </w:r>
    </w:p>
    <w:p w:rsidR="00B17482" w:rsidRDefault="00B17482" w:rsidP="00B17482">
      <w:pPr>
        <w:spacing w:line="480" w:lineRule="exact"/>
        <w:rPr>
          <w:rFonts w:ascii="仿宋_GB2312" w:eastAsia="仿宋_GB2312" w:hAnsi="仿宋" w:cs="仿宋"/>
          <w:b/>
          <w:bCs/>
          <w:sz w:val="32"/>
          <w:szCs w:val="32"/>
        </w:rPr>
      </w:pPr>
    </w:p>
    <w:p w:rsidR="00B17482" w:rsidRDefault="00B17482" w:rsidP="00B17482">
      <w:pPr>
        <w:spacing w:line="480" w:lineRule="exact"/>
        <w:ind w:left="1"/>
        <w:jc w:val="center"/>
        <w:rPr>
          <w:rFonts w:ascii="宋体" w:hAnsi="宋体" w:cs="仿宋"/>
          <w:b/>
          <w:bCs/>
          <w:sz w:val="32"/>
          <w:szCs w:val="32"/>
        </w:rPr>
      </w:pPr>
      <w:r>
        <w:rPr>
          <w:rFonts w:ascii="宋体" w:hAnsi="宋体" w:cs="仿宋" w:hint="eastAsia"/>
          <w:b/>
          <w:bCs/>
          <w:sz w:val="32"/>
          <w:szCs w:val="32"/>
        </w:rPr>
        <w:t>第二章  考核评估对象与周期</w:t>
      </w:r>
    </w:p>
    <w:p w:rsidR="00B17482" w:rsidRDefault="00B17482" w:rsidP="00B17482">
      <w:pPr>
        <w:spacing w:line="480" w:lineRule="exact"/>
        <w:ind w:left="2047"/>
        <w:rPr>
          <w:rFonts w:ascii="仿宋_GB2312" w:eastAsia="仿宋_GB2312" w:hAnsi="仿宋" w:cs="仿宋"/>
          <w:b/>
          <w:bCs/>
          <w:sz w:val="32"/>
          <w:szCs w:val="32"/>
        </w:rPr>
      </w:pPr>
    </w:p>
    <w:p w:rsidR="00B17482" w:rsidRDefault="00B17482" w:rsidP="00B17482">
      <w:pPr>
        <w:spacing w:line="48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 xml:space="preserve">第四条 </w:t>
      </w:r>
      <w:r>
        <w:rPr>
          <w:rFonts w:ascii="仿宋_GB2312" w:eastAsia="仿宋_GB2312" w:hAnsi="仿宋" w:cs="仿宋" w:hint="eastAsia"/>
          <w:sz w:val="32"/>
          <w:szCs w:val="32"/>
        </w:rPr>
        <w:t xml:space="preserve"> 根据不同平台类型，建立分类考核机制，考核对象分为两类：一是重点实验室类，二是工程技术研究中心类，具体分类由重点办划定。</w:t>
      </w: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lastRenderedPageBreak/>
        <w:t xml:space="preserve">第五条  </w:t>
      </w:r>
      <w:r>
        <w:rPr>
          <w:rFonts w:ascii="仿宋_GB2312" w:eastAsia="仿宋_GB2312" w:hAnsi="仿宋" w:cs="仿宋" w:hint="eastAsia"/>
          <w:sz w:val="32"/>
          <w:szCs w:val="32"/>
        </w:rPr>
        <w:t>重点办根据实际情况提前两个月发布考核评估通知和细则，考核评估周期为</w:t>
      </w:r>
      <w:r>
        <w:rPr>
          <w:rFonts w:eastAsia="仿宋_GB2312"/>
          <w:sz w:val="32"/>
          <w:szCs w:val="32"/>
        </w:rPr>
        <w:t>3</w:t>
      </w:r>
      <w:r>
        <w:rPr>
          <w:rFonts w:ascii="仿宋_GB2312" w:eastAsia="仿宋_GB2312" w:hAnsi="仿宋" w:cs="仿宋" w:hint="eastAsia"/>
          <w:sz w:val="32"/>
          <w:szCs w:val="32"/>
        </w:rPr>
        <w:t>年。</w:t>
      </w: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 xml:space="preserve">第六条  </w:t>
      </w:r>
      <w:r>
        <w:rPr>
          <w:rFonts w:ascii="仿宋_GB2312" w:eastAsia="仿宋_GB2312" w:hAnsi="仿宋" w:cs="仿宋" w:hint="eastAsia"/>
          <w:sz w:val="32"/>
          <w:szCs w:val="32"/>
        </w:rPr>
        <w:t>参加平台考核的相关人员应当严格遵守国家法律法规和保密规定，确保考核评估公开、公平、公正。</w:t>
      </w: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 xml:space="preserve">第七条  </w:t>
      </w:r>
      <w:r>
        <w:rPr>
          <w:rFonts w:ascii="仿宋_GB2312" w:eastAsia="仿宋_GB2312" w:hAnsi="仿宋" w:cs="仿宋" w:hint="eastAsia"/>
          <w:sz w:val="32"/>
          <w:szCs w:val="32"/>
        </w:rPr>
        <w:t>平台负责人对该平台的考核评估工作负责，平台依托学院应为平台考核评估提供支持和保障。</w:t>
      </w:r>
    </w:p>
    <w:p w:rsidR="00B17482" w:rsidRDefault="00B17482" w:rsidP="00B17482">
      <w:pPr>
        <w:spacing w:line="480" w:lineRule="exact"/>
        <w:rPr>
          <w:rFonts w:ascii="仿宋_GB2312" w:eastAsia="仿宋_GB2312" w:hAnsi="仿宋" w:cs="仿宋"/>
          <w:sz w:val="32"/>
          <w:szCs w:val="32"/>
        </w:rPr>
      </w:pPr>
    </w:p>
    <w:p w:rsidR="00B17482" w:rsidRDefault="00B17482" w:rsidP="00B17482">
      <w:pPr>
        <w:spacing w:line="480" w:lineRule="exact"/>
        <w:ind w:left="1"/>
        <w:jc w:val="center"/>
        <w:rPr>
          <w:rFonts w:ascii="宋体" w:hAnsi="宋体" w:cs="仿宋"/>
          <w:b/>
          <w:bCs/>
          <w:sz w:val="32"/>
          <w:szCs w:val="32"/>
        </w:rPr>
      </w:pPr>
      <w:r>
        <w:rPr>
          <w:rFonts w:ascii="宋体" w:hAnsi="宋体" w:cs="仿宋" w:hint="eastAsia"/>
          <w:b/>
          <w:bCs/>
          <w:sz w:val="32"/>
          <w:szCs w:val="32"/>
        </w:rPr>
        <w:t>第三章  评估内容与考核方式</w:t>
      </w:r>
    </w:p>
    <w:p w:rsidR="00B17482" w:rsidRDefault="00B17482" w:rsidP="00B17482">
      <w:pPr>
        <w:spacing w:line="480" w:lineRule="exact"/>
        <w:ind w:left="2047"/>
        <w:rPr>
          <w:rFonts w:ascii="仿宋_GB2312" w:eastAsia="仿宋_GB2312" w:hAnsi="仿宋" w:cs="仿宋"/>
          <w:b/>
          <w:bCs/>
          <w:sz w:val="32"/>
          <w:szCs w:val="32"/>
        </w:rPr>
      </w:pP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第八条</w:t>
      </w:r>
      <w:r>
        <w:rPr>
          <w:rFonts w:ascii="仿宋_GB2312" w:eastAsia="仿宋_GB2312" w:hAnsi="仿宋" w:cs="仿宋" w:hint="eastAsia"/>
          <w:color w:val="FF0000"/>
          <w:sz w:val="32"/>
          <w:szCs w:val="32"/>
        </w:rPr>
        <w:t xml:space="preserve">  </w:t>
      </w:r>
      <w:r>
        <w:rPr>
          <w:rFonts w:ascii="仿宋_GB2312" w:eastAsia="仿宋_GB2312" w:hAnsi="仿宋" w:cs="仿宋" w:hint="eastAsia"/>
          <w:sz w:val="32"/>
          <w:szCs w:val="32"/>
        </w:rPr>
        <w:t>各平台填写《华南农业大学省部级以上科研平台三年工作总结报告》（以下简称“报告”）和《华南农业大学省部级以上科研平台考核评估表》（以下简称“考核表”）作为考核评估的主要依据。在组织评审前，报告和考核表等考核材料须在依托学院提前进行内部公示</w:t>
      </w:r>
      <w:r>
        <w:rPr>
          <w:rFonts w:eastAsia="仿宋_GB2312"/>
          <w:sz w:val="32"/>
          <w:szCs w:val="32"/>
        </w:rPr>
        <w:t>5</w:t>
      </w:r>
      <w:r>
        <w:rPr>
          <w:rFonts w:ascii="仿宋_GB2312" w:eastAsia="仿宋_GB2312" w:hAnsi="仿宋" w:cs="仿宋" w:hint="eastAsia"/>
          <w:sz w:val="32"/>
          <w:szCs w:val="32"/>
        </w:rPr>
        <w:t>个工作日。</w:t>
      </w: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 xml:space="preserve">第九条  </w:t>
      </w:r>
      <w:r>
        <w:rPr>
          <w:rFonts w:ascii="仿宋_GB2312" w:eastAsia="仿宋_GB2312" w:hAnsi="仿宋" w:cs="仿宋" w:hint="eastAsia"/>
          <w:sz w:val="32"/>
          <w:szCs w:val="32"/>
        </w:rPr>
        <w:t>报告和考核表中列举的项目、论文、专著、专利、新品种、软件著作权、奖励、技术成果转让等成果须在考核评估期内取得。</w:t>
      </w: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 xml:space="preserve">第十条  </w:t>
      </w:r>
      <w:r>
        <w:rPr>
          <w:rFonts w:ascii="仿宋_GB2312" w:eastAsia="仿宋_GB2312" w:hAnsi="仿宋" w:cs="仿宋" w:hint="eastAsia"/>
          <w:sz w:val="32"/>
          <w:szCs w:val="32"/>
        </w:rPr>
        <w:t>报告和</w:t>
      </w:r>
      <w:proofErr w:type="gramStart"/>
      <w:r>
        <w:rPr>
          <w:rFonts w:ascii="仿宋_GB2312" w:eastAsia="仿宋_GB2312" w:hAnsi="仿宋" w:cs="仿宋" w:hint="eastAsia"/>
          <w:sz w:val="32"/>
          <w:szCs w:val="32"/>
        </w:rPr>
        <w:t>考核表需经</w:t>
      </w:r>
      <w:proofErr w:type="gramEnd"/>
      <w:r>
        <w:rPr>
          <w:rFonts w:ascii="仿宋_GB2312" w:eastAsia="仿宋_GB2312" w:hAnsi="仿宋" w:cs="仿宋" w:hint="eastAsia"/>
          <w:sz w:val="32"/>
          <w:szCs w:val="32"/>
        </w:rPr>
        <w:t>依托学院审核后按规定程序和日期提交至重点办，重点办组织专家对考核内容进行评审。</w:t>
      </w: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第十一条</w:t>
      </w:r>
      <w:r>
        <w:rPr>
          <w:rFonts w:ascii="仿宋_GB2312" w:eastAsia="仿宋_GB2312" w:hAnsi="仿宋" w:cs="仿宋" w:hint="eastAsia"/>
          <w:b/>
          <w:bCs/>
          <w:color w:val="FF0000"/>
          <w:sz w:val="32"/>
          <w:szCs w:val="32"/>
        </w:rPr>
        <w:t xml:space="preserve"> </w:t>
      </w:r>
      <w:r>
        <w:rPr>
          <w:rFonts w:ascii="仿宋_GB2312" w:eastAsia="仿宋_GB2312" w:hint="eastAsia"/>
          <w:color w:val="FF0000"/>
          <w:kern w:val="0"/>
          <w:sz w:val="32"/>
          <w:szCs w:val="32"/>
        </w:rPr>
        <w:t xml:space="preserve"> </w:t>
      </w:r>
      <w:r>
        <w:rPr>
          <w:rFonts w:ascii="仿宋_GB2312" w:eastAsia="仿宋_GB2312" w:hAnsi="仿宋" w:cs="仿宋" w:hint="eastAsia"/>
          <w:sz w:val="32"/>
          <w:szCs w:val="32"/>
        </w:rPr>
        <w:t>考核评估以校外专家组会议评审和平台负责人互评相结合的方式进行。校外专家组在审阅实验室报告和考核表后，根据评估指标体系记名评分，并提出专家组评估意见。考核评估结果中校外专家组</w:t>
      </w:r>
      <w:proofErr w:type="gramStart"/>
      <w:r>
        <w:rPr>
          <w:rFonts w:ascii="仿宋_GB2312" w:eastAsia="仿宋_GB2312" w:hAnsi="仿宋" w:cs="仿宋" w:hint="eastAsia"/>
          <w:sz w:val="32"/>
          <w:szCs w:val="32"/>
        </w:rPr>
        <w:t>评分占</w:t>
      </w:r>
      <w:proofErr w:type="gramEnd"/>
      <w:r>
        <w:rPr>
          <w:rFonts w:eastAsia="仿宋_GB2312"/>
          <w:sz w:val="32"/>
          <w:szCs w:val="32"/>
        </w:rPr>
        <w:t>90%</w:t>
      </w:r>
      <w:r>
        <w:rPr>
          <w:rFonts w:ascii="仿宋_GB2312" w:eastAsia="仿宋_GB2312" w:hAnsi="仿宋" w:cs="仿宋" w:hint="eastAsia"/>
          <w:sz w:val="32"/>
          <w:szCs w:val="32"/>
        </w:rPr>
        <w:t>，平台负责人互评占</w:t>
      </w:r>
      <w:r>
        <w:rPr>
          <w:rFonts w:eastAsia="仿宋_GB2312"/>
          <w:sz w:val="32"/>
          <w:szCs w:val="32"/>
        </w:rPr>
        <w:t>10%</w:t>
      </w:r>
      <w:r>
        <w:rPr>
          <w:rFonts w:ascii="仿宋_GB2312" w:eastAsia="仿宋_GB2312" w:hAnsi="仿宋" w:cs="仿宋" w:hint="eastAsia"/>
          <w:sz w:val="32"/>
          <w:szCs w:val="32"/>
        </w:rPr>
        <w:t>。</w:t>
      </w: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 xml:space="preserve">第十二条 </w:t>
      </w:r>
      <w:r>
        <w:rPr>
          <w:rFonts w:ascii="仿宋_GB2312" w:eastAsia="仿宋_GB2312" w:hAnsi="仿宋" w:cs="仿宋" w:hint="eastAsia"/>
          <w:sz w:val="32"/>
          <w:szCs w:val="32"/>
        </w:rPr>
        <w:t xml:space="preserve"> 参加考核评估平台提供的材料应实事求是，不得弄虚作假，依托学院及平台负责人不得以任何方式影响考核评估的公正性；凡有违反学术道德情况的，按照学校相关规定处理。</w:t>
      </w:r>
    </w:p>
    <w:p w:rsidR="00B17482" w:rsidRDefault="00B17482" w:rsidP="00B17482">
      <w:pPr>
        <w:spacing w:line="480" w:lineRule="exact"/>
        <w:rPr>
          <w:rFonts w:ascii="仿宋_GB2312" w:eastAsia="仿宋_GB2312" w:hAnsi="仿宋" w:cs="仿宋"/>
          <w:sz w:val="32"/>
          <w:szCs w:val="32"/>
        </w:rPr>
      </w:pPr>
    </w:p>
    <w:p w:rsidR="00B17482" w:rsidRDefault="00B17482" w:rsidP="00B17482">
      <w:pPr>
        <w:spacing w:line="480" w:lineRule="exact"/>
        <w:ind w:left="1"/>
        <w:jc w:val="center"/>
        <w:rPr>
          <w:rFonts w:ascii="宋体" w:hAnsi="宋体" w:cs="仿宋"/>
          <w:b/>
          <w:bCs/>
          <w:sz w:val="32"/>
          <w:szCs w:val="32"/>
        </w:rPr>
      </w:pPr>
      <w:r>
        <w:rPr>
          <w:rFonts w:ascii="宋体" w:hAnsi="宋体" w:cs="仿宋" w:hint="eastAsia"/>
          <w:b/>
          <w:bCs/>
          <w:sz w:val="32"/>
          <w:szCs w:val="32"/>
        </w:rPr>
        <w:t>第四章  考核评估结果与运用</w:t>
      </w:r>
    </w:p>
    <w:p w:rsidR="00B17482" w:rsidRDefault="00B17482" w:rsidP="00B17482">
      <w:pPr>
        <w:spacing w:line="480" w:lineRule="exact"/>
        <w:ind w:left="2047"/>
        <w:rPr>
          <w:rFonts w:ascii="仿宋_GB2312" w:eastAsia="仿宋_GB2312" w:hAnsi="仿宋" w:cs="仿宋"/>
          <w:b/>
          <w:bCs/>
          <w:sz w:val="32"/>
          <w:szCs w:val="32"/>
        </w:rPr>
      </w:pP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 xml:space="preserve">第十三条  </w:t>
      </w:r>
      <w:r>
        <w:rPr>
          <w:rFonts w:ascii="仿宋_GB2312" w:eastAsia="仿宋_GB2312" w:hAnsi="仿宋" w:cs="仿宋" w:hint="eastAsia"/>
          <w:sz w:val="32"/>
          <w:szCs w:val="32"/>
        </w:rPr>
        <w:t>重点办根据校外专家组评分和平台负责人互评的分值计算出总分后公布考核评估结果，其中优秀占</w:t>
      </w:r>
      <w:r>
        <w:rPr>
          <w:rFonts w:eastAsia="仿宋_GB2312"/>
          <w:sz w:val="32"/>
          <w:szCs w:val="32"/>
        </w:rPr>
        <w:t>15%</w:t>
      </w:r>
      <w:r>
        <w:rPr>
          <w:rFonts w:ascii="仿宋_GB2312" w:eastAsia="仿宋_GB2312" w:hAnsi="仿宋" w:cs="仿宋" w:hint="eastAsia"/>
          <w:sz w:val="32"/>
          <w:szCs w:val="32"/>
        </w:rPr>
        <w:t>、良好占</w:t>
      </w:r>
      <w:r>
        <w:rPr>
          <w:rFonts w:eastAsia="仿宋_GB2312"/>
          <w:sz w:val="32"/>
          <w:szCs w:val="32"/>
        </w:rPr>
        <w:t>35%</w:t>
      </w:r>
      <w:r>
        <w:rPr>
          <w:rFonts w:ascii="仿宋_GB2312" w:eastAsia="仿宋_GB2312" w:hAnsi="仿宋" w:cs="仿宋" w:hint="eastAsia"/>
          <w:sz w:val="32"/>
          <w:szCs w:val="32"/>
        </w:rPr>
        <w:t>、</w:t>
      </w:r>
      <w:proofErr w:type="gramStart"/>
      <w:r>
        <w:rPr>
          <w:rFonts w:ascii="仿宋_GB2312" w:eastAsia="仿宋_GB2312" w:hAnsi="仿宋" w:cs="仿宋" w:hint="eastAsia"/>
          <w:sz w:val="32"/>
          <w:szCs w:val="32"/>
        </w:rPr>
        <w:t>合格占</w:t>
      </w:r>
      <w:proofErr w:type="gramEnd"/>
      <w:r>
        <w:rPr>
          <w:rFonts w:eastAsia="仿宋_GB2312"/>
          <w:sz w:val="32"/>
          <w:szCs w:val="32"/>
        </w:rPr>
        <w:t>45%</w:t>
      </w:r>
      <w:r>
        <w:rPr>
          <w:rFonts w:ascii="仿宋_GB2312" w:eastAsia="仿宋_GB2312" w:hAnsi="仿宋" w:cs="仿宋" w:hint="eastAsia"/>
          <w:sz w:val="32"/>
          <w:szCs w:val="32"/>
        </w:rPr>
        <w:t>、</w:t>
      </w:r>
      <w:proofErr w:type="gramStart"/>
      <w:r>
        <w:rPr>
          <w:rFonts w:ascii="仿宋_GB2312" w:eastAsia="仿宋_GB2312" w:hAnsi="仿宋" w:cs="仿宋" w:hint="eastAsia"/>
          <w:sz w:val="32"/>
          <w:szCs w:val="32"/>
        </w:rPr>
        <w:t>整改占</w:t>
      </w:r>
      <w:proofErr w:type="gramEnd"/>
      <w:r>
        <w:rPr>
          <w:rFonts w:eastAsia="仿宋_GB2312"/>
          <w:sz w:val="32"/>
          <w:szCs w:val="32"/>
        </w:rPr>
        <w:t>5%</w:t>
      </w:r>
      <w:r>
        <w:rPr>
          <w:rFonts w:ascii="仿宋_GB2312" w:eastAsia="仿宋_GB2312" w:hAnsi="仿宋" w:cs="仿宋" w:hint="eastAsia"/>
          <w:sz w:val="32"/>
          <w:szCs w:val="32"/>
        </w:rPr>
        <w:t>，同一等级</w:t>
      </w:r>
      <w:proofErr w:type="gramStart"/>
      <w:r>
        <w:rPr>
          <w:rFonts w:ascii="仿宋_GB2312" w:eastAsia="仿宋_GB2312" w:hAnsi="仿宋" w:cs="仿宋" w:hint="eastAsia"/>
          <w:sz w:val="32"/>
          <w:szCs w:val="32"/>
        </w:rPr>
        <w:t>不</w:t>
      </w:r>
      <w:proofErr w:type="gramEnd"/>
      <w:r>
        <w:rPr>
          <w:rFonts w:ascii="仿宋_GB2312" w:eastAsia="仿宋_GB2312" w:hAnsi="仿宋" w:cs="仿宋" w:hint="eastAsia"/>
          <w:sz w:val="32"/>
          <w:szCs w:val="32"/>
        </w:rPr>
        <w:t>排名。考核评估结果在校内进行公示后公布。</w:t>
      </w: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 xml:space="preserve">第十四条 </w:t>
      </w:r>
      <w:r>
        <w:rPr>
          <w:rFonts w:ascii="仿宋_GB2312" w:eastAsia="仿宋_GB2312" w:hAnsi="仿宋" w:cs="仿宋" w:hint="eastAsia"/>
          <w:sz w:val="32"/>
          <w:szCs w:val="32"/>
        </w:rPr>
        <w:t xml:space="preserve"> 优秀和良好等级的平台在次年由重点办在主管的专项经费中给予支持。整改类的平台整改期为一年，整改期满后由重点办组织复评，复评仍未通过的平台，学校根据各部委和广东省的相关管理规定，向上级主管部门建议不再列入建设序列。</w:t>
      </w: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 xml:space="preserve">第十五条  </w:t>
      </w:r>
      <w:r>
        <w:rPr>
          <w:rFonts w:ascii="仿宋_GB2312" w:eastAsia="仿宋_GB2312" w:hAnsi="仿宋" w:cs="仿宋" w:hint="eastAsia"/>
          <w:sz w:val="32"/>
          <w:szCs w:val="32"/>
        </w:rPr>
        <w:t>无故不参加或中途退出考核评估的平台，学校直接向上级主管部门建议不再列入建设序列。</w:t>
      </w:r>
    </w:p>
    <w:p w:rsidR="00B17482" w:rsidRDefault="00B17482" w:rsidP="00B17482">
      <w:pPr>
        <w:spacing w:line="480" w:lineRule="exact"/>
        <w:jc w:val="center"/>
        <w:rPr>
          <w:rFonts w:ascii="仿宋_GB2312" w:eastAsia="仿宋_GB2312" w:hAnsi="仿宋" w:cs="仿宋"/>
          <w:b/>
          <w:bCs/>
          <w:sz w:val="32"/>
          <w:szCs w:val="32"/>
        </w:rPr>
      </w:pPr>
    </w:p>
    <w:p w:rsidR="00B17482" w:rsidRDefault="00B17482" w:rsidP="00B17482">
      <w:pPr>
        <w:spacing w:line="480" w:lineRule="exact"/>
        <w:ind w:left="1"/>
        <w:jc w:val="center"/>
        <w:rPr>
          <w:rFonts w:ascii="宋体" w:hAnsi="宋体" w:cs="仿宋"/>
          <w:b/>
          <w:bCs/>
          <w:sz w:val="32"/>
          <w:szCs w:val="32"/>
        </w:rPr>
      </w:pPr>
      <w:r>
        <w:rPr>
          <w:rFonts w:ascii="宋体" w:hAnsi="宋体" w:cs="仿宋" w:hint="eastAsia"/>
          <w:b/>
          <w:bCs/>
          <w:sz w:val="32"/>
          <w:szCs w:val="32"/>
        </w:rPr>
        <w:t>第五章  附  则</w:t>
      </w:r>
    </w:p>
    <w:p w:rsidR="00B17482" w:rsidRDefault="00B17482" w:rsidP="00B17482">
      <w:pPr>
        <w:spacing w:line="480" w:lineRule="exact"/>
        <w:ind w:left="2047"/>
        <w:rPr>
          <w:rFonts w:ascii="仿宋_GB2312" w:eastAsia="仿宋_GB2312" w:hAnsi="仿宋" w:cs="仿宋"/>
          <w:b/>
          <w:bCs/>
          <w:sz w:val="32"/>
          <w:szCs w:val="32"/>
        </w:rPr>
      </w:pP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 xml:space="preserve">第十六条  </w:t>
      </w:r>
      <w:r>
        <w:rPr>
          <w:rFonts w:ascii="仿宋_GB2312" w:eastAsia="仿宋_GB2312" w:hAnsi="仿宋" w:cs="仿宋" w:hint="eastAsia"/>
          <w:sz w:val="32"/>
          <w:szCs w:val="32"/>
        </w:rPr>
        <w:t>广东省或学校正在培育的省部级以上科研平台、厅局级科研平台、校级科研平台及其他未纳入到重点办管理的科研平台不在该考核评估范围之内。</w:t>
      </w: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第十七条</w:t>
      </w:r>
      <w:r>
        <w:rPr>
          <w:rFonts w:ascii="仿宋_GB2312" w:eastAsia="仿宋_GB2312" w:hAnsi="仿宋" w:cs="仿宋" w:hint="eastAsia"/>
          <w:sz w:val="32"/>
          <w:szCs w:val="32"/>
        </w:rPr>
        <w:t xml:space="preserve">  在考核评估周期内新立项的省部级以上科研平台同时参与考核，但考核评估结果不列等次。</w:t>
      </w:r>
    </w:p>
    <w:p w:rsidR="00B17482" w:rsidRDefault="00B17482" w:rsidP="00B17482">
      <w:pPr>
        <w:spacing w:line="48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 xml:space="preserve">第十八条  </w:t>
      </w:r>
      <w:r>
        <w:rPr>
          <w:rFonts w:ascii="仿宋_GB2312" w:eastAsia="仿宋_GB2312" w:hAnsi="仿宋" w:cs="仿宋" w:hint="eastAsia"/>
          <w:sz w:val="32"/>
          <w:szCs w:val="32"/>
        </w:rPr>
        <w:t>本试行办法自发布之日起实施，由重点实验室建设办公室负责解释。今后，本试行办法将根据执行情况予以完善。</w:t>
      </w:r>
    </w:p>
    <w:p w:rsidR="00B17482" w:rsidRDefault="00B17482" w:rsidP="00B17482">
      <w:pPr>
        <w:spacing w:line="480" w:lineRule="exact"/>
        <w:ind w:firstLineChars="200" w:firstLine="640"/>
        <w:rPr>
          <w:rFonts w:ascii="仿宋_GB2312" w:eastAsia="仿宋_GB2312" w:hAnsi="仿宋" w:cs="仿宋"/>
          <w:sz w:val="32"/>
          <w:szCs w:val="32"/>
        </w:rPr>
      </w:pPr>
    </w:p>
    <w:p w:rsidR="001561E6" w:rsidRPr="00B17482" w:rsidRDefault="001561E6"/>
    <w:sectPr w:rsidR="001561E6" w:rsidRPr="00B1748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453" w:rsidRDefault="009C7453" w:rsidP="00335285">
      <w:r>
        <w:separator/>
      </w:r>
    </w:p>
  </w:endnote>
  <w:endnote w:type="continuationSeparator" w:id="0">
    <w:p w:rsidR="009C7453" w:rsidRDefault="009C7453" w:rsidP="0033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roma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85" w:rsidRDefault="0033528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903596"/>
      <w:docPartObj>
        <w:docPartGallery w:val="Page Numbers (Bottom of Page)"/>
        <w:docPartUnique/>
      </w:docPartObj>
    </w:sdtPr>
    <w:sdtContent>
      <w:bookmarkStart w:id="0" w:name="_GoBack" w:displacedByCustomXml="prev"/>
      <w:bookmarkEnd w:id="0" w:displacedByCustomXml="prev"/>
      <w:p w:rsidR="00335285" w:rsidRDefault="00335285">
        <w:pPr>
          <w:pStyle w:val="a4"/>
          <w:jc w:val="center"/>
        </w:pPr>
        <w:r>
          <w:fldChar w:fldCharType="begin"/>
        </w:r>
        <w:r>
          <w:instrText>PAGE   \* MERGEFORMAT</w:instrText>
        </w:r>
        <w:r>
          <w:fldChar w:fldCharType="separate"/>
        </w:r>
        <w:r w:rsidRPr="00335285">
          <w:rPr>
            <w:noProof/>
            <w:lang w:val="zh-CN"/>
          </w:rPr>
          <w:t>3</w:t>
        </w:r>
        <w:r>
          <w:fldChar w:fldCharType="end"/>
        </w:r>
      </w:p>
    </w:sdtContent>
  </w:sdt>
  <w:p w:rsidR="00335285" w:rsidRDefault="0033528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85" w:rsidRDefault="003352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453" w:rsidRDefault="009C7453" w:rsidP="00335285">
      <w:r>
        <w:separator/>
      </w:r>
    </w:p>
  </w:footnote>
  <w:footnote w:type="continuationSeparator" w:id="0">
    <w:p w:rsidR="009C7453" w:rsidRDefault="009C7453" w:rsidP="00335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85" w:rsidRDefault="003352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85" w:rsidRDefault="0033528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85" w:rsidRDefault="003352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482"/>
    <w:rsid w:val="001561E6"/>
    <w:rsid w:val="00335285"/>
    <w:rsid w:val="009C7453"/>
    <w:rsid w:val="00B17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4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52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5285"/>
    <w:rPr>
      <w:rFonts w:ascii="Times New Roman" w:eastAsia="宋体" w:hAnsi="Times New Roman" w:cs="Times New Roman"/>
      <w:sz w:val="18"/>
      <w:szCs w:val="18"/>
    </w:rPr>
  </w:style>
  <w:style w:type="paragraph" w:styleId="a4">
    <w:name w:val="footer"/>
    <w:basedOn w:val="a"/>
    <w:link w:val="Char0"/>
    <w:uiPriority w:val="99"/>
    <w:unhideWhenUsed/>
    <w:rsid w:val="00335285"/>
    <w:pPr>
      <w:tabs>
        <w:tab w:val="center" w:pos="4153"/>
        <w:tab w:val="right" w:pos="8306"/>
      </w:tabs>
      <w:snapToGrid w:val="0"/>
      <w:jc w:val="left"/>
    </w:pPr>
    <w:rPr>
      <w:sz w:val="18"/>
      <w:szCs w:val="18"/>
    </w:rPr>
  </w:style>
  <w:style w:type="character" w:customStyle="1" w:styleId="Char0">
    <w:name w:val="页脚 Char"/>
    <w:basedOn w:val="a0"/>
    <w:link w:val="a4"/>
    <w:uiPriority w:val="99"/>
    <w:rsid w:val="0033528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4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52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5285"/>
    <w:rPr>
      <w:rFonts w:ascii="Times New Roman" w:eastAsia="宋体" w:hAnsi="Times New Roman" w:cs="Times New Roman"/>
      <w:sz w:val="18"/>
      <w:szCs w:val="18"/>
    </w:rPr>
  </w:style>
  <w:style w:type="paragraph" w:styleId="a4">
    <w:name w:val="footer"/>
    <w:basedOn w:val="a"/>
    <w:link w:val="Char0"/>
    <w:uiPriority w:val="99"/>
    <w:unhideWhenUsed/>
    <w:rsid w:val="00335285"/>
    <w:pPr>
      <w:tabs>
        <w:tab w:val="center" w:pos="4153"/>
        <w:tab w:val="right" w:pos="8306"/>
      </w:tabs>
      <w:snapToGrid w:val="0"/>
      <w:jc w:val="left"/>
    </w:pPr>
    <w:rPr>
      <w:sz w:val="18"/>
      <w:szCs w:val="18"/>
    </w:rPr>
  </w:style>
  <w:style w:type="character" w:customStyle="1" w:styleId="Char0">
    <w:name w:val="页脚 Char"/>
    <w:basedOn w:val="a0"/>
    <w:link w:val="a4"/>
    <w:uiPriority w:val="99"/>
    <w:rsid w:val="0033528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康小武</dc:creator>
  <cp:lastModifiedBy>康小武</cp:lastModifiedBy>
  <cp:revision>2</cp:revision>
  <cp:lastPrinted>2020-11-05T03:51:00Z</cp:lastPrinted>
  <dcterms:created xsi:type="dcterms:W3CDTF">2020-11-04T00:47:00Z</dcterms:created>
  <dcterms:modified xsi:type="dcterms:W3CDTF">2020-11-05T07:05:00Z</dcterms:modified>
</cp:coreProperties>
</file>