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附件1</w:t>
      </w:r>
    </w:p>
    <w:p>
      <w:pPr>
        <w:adjustRightInd w:val="0"/>
        <w:snapToGrid w:val="0"/>
        <w:spacing w:beforeLines="0" w:afterLines="0" w:line="590" w:lineRule="exact"/>
        <w:ind w:left="0" w:firstLine="632" w:firstLineChars="200"/>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农作物病虫疫情防控和农药研发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项目入库申报指南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一、总体目标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针对水稻、玉米、薯类等粮食作物病虫害开展防控技术研究与应用，保障粮食生产安全。针对红火蚁、香蕉穿孔线虫等农业检疫性有害生物防控、监测进行研究与应用，保障国家生物安全。针对农作物病虫防控农药减量技术、新型靶向药剂研发，实现农药减量，推动农业绿色发展。针对我省特色农作物，开展小宗作物用药登记试验，缓解小宗作物无药可用难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二、扶持项目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农作物病虫害防控、农业检疫性有害生物防控与农药试验研究、小宗作物（甘薯）用药登记试验。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eastAsia="zh-CN"/>
        </w:rPr>
      </w:pPr>
      <w:r>
        <w:rPr>
          <w:rFonts w:hint="eastAsia" w:ascii="楷体_GB2312" w:hAnsi="楷体_GB2312" w:eastAsia="楷体_GB2312" w:cs="楷体_GB2312"/>
          <w:b w:val="0"/>
          <w:bCs/>
          <w:snapToGrid w:val="0"/>
          <w:kern w:val="0"/>
          <w:sz w:val="32"/>
          <w:szCs w:val="32"/>
          <w:lang w:val="en-US" w:eastAsia="zh-CN"/>
        </w:rPr>
        <w:t>（一）农作物病虫害防控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开展粮食作物病虫害调查与防控研究。研究水稻跗线螨、二化螟防治技术措施（包括高效药剂筛选、精准用药时期等）、水稻白叶枯病菌等病害变异动态，研究玉米草地贪夜蛾高效精准防控技术，调查甘薯病虫害发生情况，研究集成精准防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（2）开展农作物病虫害绿色防控技术研究。研发水稻绿色防控技术，荔枝害虫天敌高效利用技术，豇豆病虫防控农药减量技术。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（1）明确全省白叶枯病菌优势致病型，筛选出水稻跗线螨和二化螟应急防控药剂2个，摸清危害广东甘薯病虫害种类，研发玉米草地贪夜蛾、甘薯地下害虫高效防控技术各1套。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水稻绿色防控高效应用技术1套，荔枝害虫天敌高效应用技术1套，开展水稻绿色防控高效应用技术、荔枝害虫高效应用技术示范不少于500亩。豇豆病虫防控农药减量技术1套，减少农药用量20%以上。开展农作物病虫害绿色防控技术培训不少于15场次，培训人员不低于800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广东</w:t>
      </w:r>
      <w:r>
        <w:rPr>
          <w:rFonts w:hint="eastAsia" w:ascii="仿宋_GB2312" w:hAnsi="仿宋_GB2312" w:eastAsia="仿宋_GB2312" w:cs="仿宋_GB2312"/>
          <w:kern w:val="0"/>
          <w:sz w:val="32"/>
          <w:szCs w:val="32"/>
          <w:highlight w:val="none"/>
        </w:rPr>
        <w:t>省内科研院所、高校，能</w:t>
      </w:r>
      <w:r>
        <w:rPr>
          <w:rFonts w:hint="eastAsia" w:ascii="仿宋_GB2312" w:hAnsi="仿宋_GB2312" w:eastAsia="仿宋_GB2312" w:cs="仿宋_GB2312"/>
          <w:kern w:val="0"/>
          <w:sz w:val="32"/>
          <w:szCs w:val="32"/>
          <w:highlight w:val="none"/>
          <w:lang w:eastAsia="zh-CN"/>
        </w:rPr>
        <w:t>承担</w:t>
      </w:r>
      <w:r>
        <w:rPr>
          <w:rFonts w:hint="eastAsia" w:ascii="仿宋_GB2312" w:hAnsi="仿宋_GB2312" w:eastAsia="仿宋_GB2312" w:cs="仿宋_GB2312"/>
          <w:kern w:val="0"/>
          <w:sz w:val="32"/>
          <w:szCs w:val="32"/>
          <w:highlight w:val="none"/>
        </w:rPr>
        <w:t>完成所有建设内容和绩效目标。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textAlignment w:val="auto"/>
        <w:rPr>
          <w:rFonts w:hint="eastAsia" w:ascii="仿宋_GB2312" w:hAnsi="仿宋_GB2312" w:eastAsia="仿宋_GB2312" w:cs="仿宋_GB2312"/>
          <w:b/>
          <w:bCs/>
          <w:snapToGrid w:val="0"/>
          <w:kern w:val="0"/>
          <w:sz w:val="32"/>
          <w:szCs w:val="32"/>
          <w:lang w:val="en-US" w:eastAsia="zh-CN"/>
        </w:rPr>
      </w:pPr>
      <w:r>
        <w:rPr>
          <w:rFonts w:hint="eastAsia" w:ascii="仿宋_GB2312" w:hAnsi="仿宋_GB2312" w:eastAsia="仿宋_GB2312" w:cs="仿宋_GB2312"/>
          <w:kern w:val="0"/>
          <w:sz w:val="32"/>
          <w:szCs w:val="32"/>
          <w:highlight w:val="none"/>
          <w:lang w:val="zh-CN"/>
        </w:rPr>
        <w:t>项目资金额度不超过</w:t>
      </w: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eastAsia="zh-CN"/>
        </w:rPr>
      </w:pPr>
      <w:r>
        <w:rPr>
          <w:rFonts w:hint="eastAsia" w:ascii="楷体_GB2312" w:hAnsi="楷体_GB2312" w:eastAsia="楷体_GB2312" w:cs="楷体_GB2312"/>
          <w:b w:val="0"/>
          <w:bCs/>
          <w:snapToGrid w:val="0"/>
          <w:kern w:val="0"/>
          <w:sz w:val="32"/>
          <w:szCs w:val="32"/>
          <w:lang w:val="en-US" w:eastAsia="zh-CN"/>
        </w:rPr>
        <w:t>（二）农业检疫性有害生物防控与农药试验研究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（1）红火蚁防控新型药剂研究。开展红火蚁植物源药剂防控技术研究，红火蚁抗药性监测及化学农药残留动态监测技术研究，鱼塘使用红火蚁药剂安全性研究，筛选对水环境低毒或无毒有效成分。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（2）在全省开展香蕉穿孔线虫疫情监测检测。研究香蕉枯萎病防控新型药剂。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（3）开展植物源农药精准靶向剂型研发。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评估10种以上红火蚁防控产品对鱼类和藻类的毒性，筛选对鱼类安全的红火蚁防控饵剂产品及适用鱼塘生境的高效、低毒红火蚁液体饵剂配方1种。研制2种以上杀虫植物为有效成分的植物性饵剂、精准靶向传递用药技术2种。完成红火蚁药剂抗药性检测报告和化学农药残留动态监测报告。研究不同药剂对红火蚁迁巢行为的影响。建立红火蚁防控示范基地10个，示范面积100亩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针对香蕉穿孔线虫发生特点，在全省进行监测检测。重点监测香蕉、柑橘和甘蔗等大田寄主作物，主要在湛江、阳江、茂名、江门等市进行大田调查采样。对发生和传播香蕉穿孔线虫疫情风险高的观赏植物进行监测检测，在广州、深圳、佛山、中山等市，重点对天南星科、竹芋科、棕榈科、芭蕉科和凤梨科的观赏植物进行监测。监测地区不少于15个市，监测大田作物面积7万亩，监测观赏植物30种，监测和检测鉴定样品数2000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（3）开展香蕉枯萎病防控新型药剂的研究，筛选可以抑制枯萎病菌生长的功能性植物，鉴定和筛选对功能有效成分1-2种。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4）开展植物源农药精准靶向剂型的研发：以传统植物源农药印楝素、鱼藤酮等为基础，以纳米农药制备技术为支撑，制备高效环保的植物源农药精准靶向剂型2种以上，并对蜜蜂、蚯蚓等非靶标生物的安全性进行评估，建立植物性农药示范基地10个，示范应用面积300亩以上。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（5）培训场次20次，总培训人员1000人以上。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广东</w:t>
      </w:r>
      <w:r>
        <w:rPr>
          <w:rFonts w:hint="eastAsia" w:ascii="仿宋_GB2312" w:hAnsi="仿宋_GB2312" w:eastAsia="仿宋_GB2312" w:cs="仿宋_GB2312"/>
          <w:kern w:val="0"/>
          <w:sz w:val="32"/>
          <w:szCs w:val="32"/>
          <w:highlight w:val="none"/>
        </w:rPr>
        <w:t>省内科研院所、高校，能</w:t>
      </w:r>
      <w:r>
        <w:rPr>
          <w:rFonts w:hint="eastAsia" w:ascii="仿宋_GB2312" w:hAnsi="仿宋_GB2312" w:eastAsia="仿宋_GB2312" w:cs="仿宋_GB2312"/>
          <w:kern w:val="0"/>
          <w:sz w:val="32"/>
          <w:szCs w:val="32"/>
          <w:highlight w:val="none"/>
          <w:lang w:eastAsia="zh-CN"/>
        </w:rPr>
        <w:t>承担</w:t>
      </w:r>
      <w:r>
        <w:rPr>
          <w:rFonts w:hint="eastAsia" w:ascii="仿宋_GB2312" w:hAnsi="仿宋_GB2312" w:eastAsia="仿宋_GB2312" w:cs="仿宋_GB2312"/>
          <w:kern w:val="0"/>
          <w:sz w:val="32"/>
          <w:szCs w:val="32"/>
          <w:highlight w:val="none"/>
        </w:rPr>
        <w:t>完成所有建设内容和绩效目标。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zh-CN"/>
        </w:rPr>
        <w:t>项目资金额度不超过</w:t>
      </w:r>
      <w:r>
        <w:rPr>
          <w:rFonts w:hint="eastAsia" w:ascii="仿宋_GB2312" w:hAnsi="仿宋_GB2312" w:eastAsia="仿宋_GB2312" w:cs="仿宋_GB2312"/>
          <w:kern w:val="0"/>
          <w:sz w:val="32"/>
          <w:szCs w:val="32"/>
          <w:highlight w:val="none"/>
          <w:lang w:val="en-US" w:eastAsia="zh-CN"/>
        </w:rPr>
        <w:t>210</w:t>
      </w:r>
      <w:r>
        <w:rPr>
          <w:rFonts w:hint="eastAsia" w:ascii="仿宋_GB2312" w:hAnsi="仿宋_GB2312" w:eastAsia="仿宋_GB2312" w:cs="仿宋_GB2312"/>
          <w:kern w:val="0"/>
          <w:sz w:val="32"/>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楷体_GB2312" w:hAnsi="楷体_GB2312" w:eastAsia="楷体_GB2312" w:cs="楷体_GB2312"/>
          <w:b w:val="0"/>
          <w:bCs/>
          <w:snapToGrid w:val="0"/>
          <w:kern w:val="0"/>
          <w:sz w:val="32"/>
          <w:szCs w:val="32"/>
          <w:highlight w:val="none"/>
          <w:lang w:val="en-US" w:eastAsia="zh-CN"/>
        </w:rPr>
      </w:pPr>
      <w:r>
        <w:rPr>
          <w:rFonts w:hint="eastAsia" w:ascii="楷体_GB2312" w:hAnsi="楷体_GB2312" w:eastAsia="楷体_GB2312" w:cs="楷体_GB2312"/>
          <w:b w:val="0"/>
          <w:bCs/>
          <w:snapToGrid w:val="0"/>
          <w:kern w:val="0"/>
          <w:sz w:val="32"/>
          <w:szCs w:val="32"/>
          <w:highlight w:val="none"/>
          <w:lang w:val="en-US" w:eastAsia="zh-CN"/>
        </w:rPr>
        <w:t>（三）小宗作物用药登记试验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开展6个甘薯病虫害用药产品登记试验。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1）根据《农药登记试验质量管理规范》，针对小宗作物病虫开展田间药效试验，每个产品不少于3个点。涉及新作物范围的，开展作物安全性试验，涉及新防治对象的，开展室内活性试验，涉及新混配制剂的，开展室内配方筛选试验。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（2）根据《农药登记试验质量管理规范》《农药登记残留试验区域指南》和农药登记残</w:t>
      </w:r>
      <w:r>
        <w:rPr>
          <w:rFonts w:hint="eastAsia" w:ascii="仿宋_GB2312" w:hAnsi="仿宋_GB2312" w:eastAsia="仿宋_GB2312" w:cs="仿宋_GB2312"/>
          <w:color w:val="auto"/>
          <w:kern w:val="0"/>
          <w:sz w:val="32"/>
          <w:szCs w:val="32"/>
          <w:highlight w:val="none"/>
          <w:lang w:val="en-US" w:eastAsia="zh-CN"/>
        </w:rPr>
        <w:t>留试验点数要求开展残留登记试验，每个产品试验点数不少于8个。开展农药残留储藏稳定性试验、残留分析。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（3）完成药效试验报告、安全性评估试验报告和室内生物活性测定报告。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（4）完成农药残留试验报告、残留分析方法报告、农药残留储藏稳定性报告、膳食风险评估报告。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（5）整理农药登记资料并组织登记。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广东省内具有农药药效登记试验或残留登记试验资质的</w:t>
      </w:r>
      <w:r>
        <w:rPr>
          <w:rFonts w:hint="eastAsia" w:ascii="仿宋_GB2312" w:hAnsi="仿宋_GB2312" w:eastAsia="仿宋_GB2312" w:cs="仿宋_GB2312"/>
          <w:kern w:val="0"/>
          <w:sz w:val="32"/>
          <w:szCs w:val="32"/>
          <w:highlight w:val="none"/>
        </w:rPr>
        <w:t>科研院所、高校</w:t>
      </w:r>
      <w:r>
        <w:rPr>
          <w:rFonts w:hint="eastAsia" w:ascii="仿宋_GB2312" w:hAnsi="仿宋_GB2312" w:eastAsia="仿宋_GB2312" w:cs="仿宋_GB2312"/>
          <w:kern w:val="0"/>
          <w:sz w:val="32"/>
          <w:szCs w:val="32"/>
          <w:highlight w:val="none"/>
          <w:lang w:eastAsia="zh-CN"/>
        </w:rPr>
        <w:t>承担，需6个产品统一申报</w:t>
      </w:r>
      <w:r>
        <w:rPr>
          <w:rFonts w:hint="eastAsia" w:ascii="仿宋_GB2312" w:hAnsi="仿宋_GB2312" w:eastAsia="仿宋_GB2312" w:cs="仿宋_GB2312"/>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highlight w:val="none"/>
          <w:lang w:val="zh-CN"/>
        </w:rPr>
        <w:t>单个</w:t>
      </w:r>
      <w:r>
        <w:rPr>
          <w:rFonts w:hint="eastAsia" w:ascii="仿宋_GB2312" w:hAnsi="仿宋_GB2312" w:eastAsia="仿宋_GB2312" w:cs="仿宋_GB2312"/>
          <w:color w:val="auto"/>
          <w:kern w:val="0"/>
          <w:sz w:val="32"/>
          <w:szCs w:val="32"/>
          <w:highlight w:val="none"/>
          <w:lang w:val="en-US" w:eastAsia="zh-CN"/>
        </w:rPr>
        <w:t>用药产品登记试验</w:t>
      </w:r>
      <w:r>
        <w:rPr>
          <w:rFonts w:hint="eastAsia" w:ascii="仿宋_GB2312" w:hAnsi="仿宋_GB2312" w:eastAsia="仿宋_GB2312" w:cs="仿宋_GB2312"/>
          <w:kern w:val="0"/>
          <w:sz w:val="32"/>
          <w:szCs w:val="32"/>
          <w:highlight w:val="none"/>
          <w:lang w:val="zh-CN"/>
        </w:rPr>
        <w:t>项目补助金额不超过</w:t>
      </w:r>
      <w:r>
        <w:rPr>
          <w:rFonts w:hint="eastAsia" w:ascii="仿宋_GB2312" w:hAnsi="仿宋_GB2312" w:eastAsia="仿宋_GB2312" w:cs="仿宋_GB2312"/>
          <w:kern w:val="0"/>
          <w:sz w:val="32"/>
          <w:szCs w:val="32"/>
          <w:highlight w:val="none"/>
          <w:lang w:val="en-US" w:eastAsia="zh-CN"/>
        </w:rPr>
        <w:t>50</w:t>
      </w:r>
      <w:r>
        <w:rPr>
          <w:rFonts w:hint="eastAsia" w:ascii="仿宋_GB2312" w:hAnsi="仿宋_GB2312" w:eastAsia="仿宋_GB2312" w:cs="仿宋_GB2312"/>
          <w:kern w:val="0"/>
          <w:sz w:val="32"/>
          <w:szCs w:val="32"/>
          <w:highlight w:val="none"/>
          <w:lang w:val="zh-CN"/>
        </w:rPr>
        <w:t>万元（</w:t>
      </w:r>
      <w:r>
        <w:rPr>
          <w:rFonts w:hint="eastAsia" w:ascii="仿宋_GB2312" w:hAnsi="仿宋_GB2312" w:eastAsia="仿宋_GB2312" w:cs="仿宋_GB2312"/>
          <w:color w:val="auto"/>
          <w:kern w:val="0"/>
          <w:sz w:val="32"/>
          <w:szCs w:val="32"/>
          <w:highlight w:val="none"/>
          <w:lang w:val="en-US" w:eastAsia="zh-CN"/>
        </w:rPr>
        <w:t>6个甘薯病虫害用药产品登记试验合计补助金额不超过300万元</w:t>
      </w:r>
      <w:r>
        <w:rPr>
          <w:rFonts w:hint="eastAsia" w:ascii="仿宋_GB2312" w:hAnsi="仿宋_GB2312" w:eastAsia="仿宋_GB2312" w:cs="仿宋_GB2312"/>
          <w:kern w:val="0"/>
          <w:sz w:val="32"/>
          <w:szCs w:val="32"/>
          <w:highlight w:val="none"/>
          <w:lang w:val="zh-CN"/>
        </w:rPr>
        <w:t>），项目承担单位根据自身情况申报</w:t>
      </w:r>
      <w:r>
        <w:rPr>
          <w:rFonts w:hint="eastAsia" w:ascii="仿宋_GB2312" w:hAnsi="仿宋_GB2312" w:eastAsia="仿宋_GB2312" w:cs="仿宋_GB2312"/>
          <w:color w:val="auto"/>
          <w:kern w:val="0"/>
          <w:sz w:val="32"/>
          <w:szCs w:val="32"/>
          <w:highlight w:val="none"/>
          <w:lang w:val="en-US" w:eastAsia="zh-CN"/>
        </w:rPr>
        <w:t>用药产品登记试验，</w:t>
      </w:r>
      <w:r>
        <w:rPr>
          <w:rFonts w:hint="eastAsia" w:ascii="仿宋_GB2312" w:hAnsi="仿宋_GB2312" w:eastAsia="仿宋_GB2312" w:cs="仿宋_GB2312"/>
          <w:kern w:val="0"/>
          <w:sz w:val="32"/>
          <w:szCs w:val="32"/>
          <w:highlight w:val="none"/>
          <w:lang w:val="zh-CN"/>
        </w:rPr>
        <w:t>并自行测算项目需求金额，在申报书中提供资金测算过程及测算依据。最终金额以我单位测算核实为准。项目预算金额测算是否详细、合理将纳入评审标准。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三、申报材料要求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zh-CN"/>
        </w:rPr>
        <w:t>（一）项目使用第9类《农业科研类及技术推广示范类项目申报书模板》。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lang w:val="zh-CN"/>
        </w:rPr>
        <w:t>项目申报书中应详细介绍项目申报团队现有的能够为项目高质量开展提供的人员基础、技术支撑基础、理论基础和硬件设施基础等，应明确项目详细建设计划，确保项目顺利开展。</w:t>
      </w:r>
    </w:p>
    <w:p>
      <w:pPr>
        <w:pStyle w:val="11"/>
        <w:widowControl w:val="0"/>
        <w:adjustRightInd w:val="0"/>
        <w:snapToGrid w:val="0"/>
        <w:spacing w:beforeLines="0" w:afterLines="0" w:line="590" w:lineRule="exact"/>
        <w:ind w:left="0" w:leftChars="0" w:right="0" w:rightChars="0" w:firstLine="632" w:firstLineChars="200"/>
        <w:rPr>
          <w:rFonts w:hint="eastAsia" w:ascii="仿宋_GB2312" w:hAnsi="仿宋_GB2312" w:cs="仿宋_GB2312"/>
          <w:sz w:val="32"/>
          <w:szCs w:val="32"/>
        </w:rPr>
      </w:pPr>
    </w:p>
    <w:p>
      <w:pPr>
        <w:pStyle w:val="11"/>
        <w:widowControl w:val="0"/>
        <w:adjustRightInd w:val="0"/>
        <w:snapToGrid w:val="0"/>
        <w:spacing w:beforeLines="0" w:afterLines="0" w:line="590" w:lineRule="exact"/>
        <w:ind w:left="0" w:leftChars="0" w:right="0" w:rightChars="0" w:firstLine="632" w:firstLineChars="200"/>
        <w:rPr>
          <w:rFonts w:hint="eastAsia" w:ascii="仿宋_GB2312" w:hAnsi="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firstLine="0" w:firstLineChars="0"/>
        <w:jc w:val="both"/>
        <w:textAlignment w:val="auto"/>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br w:type="page"/>
      </w:r>
      <w:r>
        <w:rPr>
          <w:rFonts w:hint="eastAsia" w:ascii="黑体" w:hAnsi="黑体" w:eastAsia="黑体" w:cs="黑体"/>
          <w:color w:val="auto"/>
          <w:kern w:val="0"/>
          <w:sz w:val="32"/>
          <w:szCs w:val="32"/>
          <w:lang w:val="en-US" w:eastAsia="zh-CN"/>
        </w:rPr>
        <w:t>附件2</w:t>
      </w:r>
    </w:p>
    <w:p>
      <w:pPr>
        <w:adjustRightInd w:val="0"/>
        <w:snapToGrid w:val="0"/>
        <w:spacing w:beforeLines="0" w:afterLines="0" w:line="568" w:lineRule="exact"/>
        <w:ind w:firstLine="632" w:firstLineChars="200"/>
        <w:rPr>
          <w:rFonts w:hint="eastAsia" w:ascii="仿宋_GB2312" w:hAnsi="仿宋_GB2312" w:eastAsia="仿宋_GB2312" w:cs="仿宋_GB2312"/>
          <w:kern w:val="0"/>
          <w:szCs w:val="32"/>
        </w:rPr>
      </w:pPr>
    </w:p>
    <w:p>
      <w:pPr>
        <w:adjustRightInd w:val="0"/>
        <w:snapToGrid w:val="0"/>
        <w:spacing w:beforeLines="0" w:afterLines="0" w:line="568" w:lineRule="exact"/>
        <w:ind w:left="0" w:leftChars="0" w:firstLine="0" w:firstLineChars="0"/>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动物疫病防控项目入库申报指南</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beforeLines="0" w:afterLines="0" w:line="568" w:lineRule="exact"/>
        <w:ind w:leftChars="0" w:right="0" w:rightChars="0" w:firstLine="632" w:firstLineChars="200"/>
        <w:jc w:val="both"/>
        <w:textAlignment w:val="auto"/>
        <w:outlineLvl w:val="9"/>
        <w:rPr>
          <w:rFonts w:hint="eastAsia" w:ascii="仿宋_GB2312" w:hAnsi="仿宋_GB2312" w:eastAsia="仿宋_GB2312" w:cs="仿宋_GB2312"/>
          <w:bCs/>
          <w:kern w:val="0"/>
          <w:sz w:val="32"/>
          <w:szCs w:val="32"/>
          <w:lang w:eastAsia="zh-CN"/>
        </w:rPr>
      </w:pPr>
    </w:p>
    <w:p>
      <w:pPr>
        <w:numPr>
          <w:ilvl w:val="0"/>
          <w:numId w:val="0"/>
        </w:numPr>
        <w:adjustRightInd w:val="0"/>
        <w:snapToGrid w:val="0"/>
        <w:spacing w:beforeLines="0" w:afterLines="0" w:line="568" w:lineRule="exact"/>
        <w:ind w:firstLine="632" w:firstLineChars="20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一、总体目标</w:t>
      </w:r>
    </w:p>
    <w:p>
      <w:pPr>
        <w:numPr>
          <w:ilvl w:val="0"/>
          <w:numId w:val="0"/>
        </w:numPr>
        <w:adjustRightInd w:val="0"/>
        <w:snapToGrid w:val="0"/>
        <w:spacing w:beforeLines="0" w:afterLines="0" w:line="568"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掌握重点动物疫病和人畜共患病流行状况，集成防控技术措施，加强动物疫病防控，保障畜禽产品有效供给，维护人民群众身体健康。提升生猪屠宰企业标准化建设水平，推动我省屠宰企业转型升级，促进屠宰行业高质量发展。</w:t>
      </w:r>
    </w:p>
    <w:p>
      <w:pPr>
        <w:numPr>
          <w:ilvl w:val="0"/>
          <w:numId w:val="0"/>
        </w:numPr>
        <w:adjustRightInd w:val="0"/>
        <w:snapToGrid w:val="0"/>
        <w:spacing w:beforeLines="0" w:afterLines="0" w:line="568" w:lineRule="exact"/>
        <w:ind w:firstLine="632" w:firstLineChars="20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二、扶持项目</w:t>
      </w:r>
    </w:p>
    <w:p>
      <w:pPr>
        <w:keepNext w:val="0"/>
        <w:keepLines w:val="0"/>
        <w:pageBreakBefore w:val="0"/>
        <w:kinsoku/>
        <w:wordWrap/>
        <w:overflowPunct/>
        <w:topLinePunct w:val="0"/>
        <w:autoSpaceDE/>
        <w:autoSpaceDN/>
        <w:bidi w:val="0"/>
        <w:adjustRightInd w:val="0"/>
        <w:snapToGrid w:val="0"/>
        <w:spacing w:beforeLines="0" w:afterLines="0" w:line="568"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（一）猪牛羊病净化复核检测及流行病学调查</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rPr>
          <w:rFonts w:hint="eastAsia" w:ascii="仿宋_GB2312" w:hAnsi="仿宋_GB2312" w:eastAsia="仿宋_GB2312" w:cs="仿宋_GB2312"/>
          <w:b/>
          <w:bCs/>
          <w:color w:val="auto"/>
          <w:spacing w:val="0"/>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对</w:t>
      </w:r>
      <w:r>
        <w:rPr>
          <w:rFonts w:hint="eastAsia" w:ascii="仿宋_GB2312" w:hAnsi="仿宋_GB2312" w:eastAsia="仿宋_GB2312" w:cs="仿宋_GB2312"/>
          <w:color w:val="auto"/>
          <w:kern w:val="0"/>
          <w:sz w:val="32"/>
          <w:szCs w:val="32"/>
          <w:highlight w:val="none"/>
          <w:lang w:val="en-US" w:eastAsia="zh-CN" w:bidi="ar-SA"/>
        </w:rPr>
        <w:t>2024年度申请净化场评估的养殖场，开展</w:t>
      </w:r>
      <w:r>
        <w:rPr>
          <w:rFonts w:hint="eastAsia" w:ascii="仿宋_GB2312" w:hAnsi="仿宋_GB2312" w:eastAsia="仿宋_GB2312" w:cs="仿宋_GB2312"/>
          <w:bCs/>
          <w:color w:val="auto"/>
          <w:kern w:val="0"/>
          <w:sz w:val="32"/>
          <w:szCs w:val="32"/>
          <w:highlight w:val="none"/>
          <w:lang w:val="en-US" w:eastAsia="zh-CN" w:bidi="ar-SA"/>
        </w:rPr>
        <w:t>猪伪狂犬病、布鲁氏菌病和小反刍兽疫等净化疫病的抗体复核检测，并出具检测报告。采集口鼻、肛门棉拭子样品和血清样品各800份，开展猪牛羊相关疫病抗原抗体检测，进行疫病流行形势预警分析，形成动物疫病流行病学调查报告。</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按时按要求开展猪牛羊净化疫病复核检测，出具科学公正的检测报告，为我省</w:t>
      </w:r>
      <w:r>
        <w:rPr>
          <w:rFonts w:hint="eastAsia" w:ascii="仿宋_GB2312" w:hAnsi="仿宋_GB2312" w:eastAsia="仿宋_GB2312" w:cs="仿宋_GB2312"/>
          <w:color w:val="auto"/>
          <w:kern w:val="0"/>
          <w:sz w:val="32"/>
          <w:szCs w:val="32"/>
          <w:highlight w:val="none"/>
          <w:lang w:val="en-US" w:eastAsia="zh-CN" w:bidi="ar-SA"/>
        </w:rPr>
        <w:t>净化场</w:t>
      </w:r>
      <w:r>
        <w:rPr>
          <w:rFonts w:hint="eastAsia" w:ascii="仿宋_GB2312" w:hAnsi="仿宋_GB2312" w:eastAsia="仿宋_GB2312" w:cs="仿宋_GB2312"/>
          <w:bCs/>
          <w:color w:val="auto"/>
          <w:kern w:val="0"/>
          <w:sz w:val="32"/>
          <w:szCs w:val="32"/>
          <w:highlight w:val="none"/>
          <w:lang w:val="en-US" w:eastAsia="zh-CN" w:bidi="ar-SA"/>
        </w:rPr>
        <w:t>评估工作提供第三方复核检测服务，保障我省动物疫病净化评估工作顺利开展。开展猪牛羊相关疫病抗原抗体检测，形成流行病学调查报告，为我省防控重大动物疫病提供参考依据。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eastAsia="zh-CN"/>
        </w:rPr>
      </w:pPr>
      <w:r>
        <w:rPr>
          <w:rFonts w:hint="eastAsia" w:ascii="仿宋_GB2312" w:hAnsi="仿宋_GB2312" w:eastAsia="仿宋_GB2312" w:cs="仿宋_GB2312"/>
          <w:b w:val="0"/>
          <w:bCs w:val="0"/>
          <w:color w:val="auto"/>
          <w:spacing w:val="0"/>
          <w:kern w:val="0"/>
          <w:sz w:val="32"/>
          <w:szCs w:val="32"/>
          <w:highlight w:val="none"/>
          <w:lang w:val="en-US" w:eastAsia="zh-CN"/>
        </w:rPr>
        <w:t>3.</w:t>
      </w:r>
      <w:r>
        <w:rPr>
          <w:rFonts w:hint="eastAsia" w:ascii="仿宋_GB2312" w:hAnsi="仿宋_GB2312" w:eastAsia="仿宋_GB2312" w:cs="仿宋_GB2312"/>
          <w:b w:val="0"/>
          <w:bCs w:val="0"/>
          <w:color w:val="auto"/>
          <w:spacing w:val="0"/>
          <w:kern w:val="0"/>
          <w:sz w:val="32"/>
          <w:szCs w:val="32"/>
          <w:highlight w:val="none"/>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省内高校或科研院所，要求具备良好的动物疫病研究与检测能力。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申请额度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（二）重要禽病净化复核检测及流行病学调查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对2024年度申请省级净化场评估的种禽场复核样品进行检测，并出具科学公正的检测报告。开展禽白血病、新城疫、鸡滑液囊支原体等主要种源性疾病流行病学调查。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按时按要求开展</w:t>
      </w:r>
      <w:r>
        <w:rPr>
          <w:rFonts w:hint="eastAsia" w:ascii="仿宋_GB2312" w:hAnsi="仿宋_GB2312" w:eastAsia="仿宋_GB2312" w:cs="仿宋_GB2312"/>
          <w:color w:val="auto"/>
          <w:kern w:val="0"/>
          <w:sz w:val="32"/>
          <w:szCs w:val="32"/>
          <w:highlight w:val="none"/>
          <w:lang w:val="en-US" w:eastAsia="zh-CN" w:bidi="ar-SA"/>
        </w:rPr>
        <w:t>禽病</w:t>
      </w:r>
      <w:r>
        <w:rPr>
          <w:rFonts w:hint="eastAsia" w:ascii="仿宋_GB2312" w:hAnsi="仿宋_GB2312" w:eastAsia="仿宋_GB2312" w:cs="仿宋_GB2312"/>
          <w:bCs/>
          <w:color w:val="auto"/>
          <w:kern w:val="0"/>
          <w:sz w:val="32"/>
          <w:szCs w:val="32"/>
          <w:highlight w:val="none"/>
          <w:lang w:val="en-US" w:eastAsia="zh-CN" w:bidi="ar-SA"/>
        </w:rPr>
        <w:t>复核检测，出具科学公正的检测报告，为我省</w:t>
      </w:r>
      <w:r>
        <w:rPr>
          <w:rFonts w:hint="eastAsia" w:ascii="仿宋_GB2312" w:hAnsi="仿宋_GB2312" w:eastAsia="仿宋_GB2312" w:cs="仿宋_GB2312"/>
          <w:color w:val="auto"/>
          <w:kern w:val="0"/>
          <w:sz w:val="32"/>
          <w:szCs w:val="32"/>
          <w:highlight w:val="none"/>
          <w:lang w:val="en-US" w:eastAsia="zh-CN" w:bidi="ar-SA"/>
        </w:rPr>
        <w:t>净化场</w:t>
      </w:r>
      <w:r>
        <w:rPr>
          <w:rFonts w:hint="eastAsia" w:ascii="仿宋_GB2312" w:hAnsi="仿宋_GB2312" w:eastAsia="仿宋_GB2312" w:cs="仿宋_GB2312"/>
          <w:bCs/>
          <w:color w:val="auto"/>
          <w:kern w:val="0"/>
          <w:sz w:val="32"/>
          <w:szCs w:val="32"/>
          <w:highlight w:val="none"/>
          <w:lang w:val="en-US" w:eastAsia="zh-CN" w:bidi="ar-SA"/>
        </w:rPr>
        <w:t>评估工作提供第三方复核检测服务，保障我省动物疫病净化评估工作顺利开展。</w:t>
      </w:r>
      <w:r>
        <w:rPr>
          <w:rFonts w:hint="eastAsia" w:ascii="仿宋_GB2312" w:hAnsi="仿宋_GB2312" w:eastAsia="仿宋_GB2312" w:cs="仿宋_GB2312"/>
          <w:color w:val="auto"/>
          <w:kern w:val="0"/>
          <w:sz w:val="32"/>
          <w:szCs w:val="32"/>
          <w:highlight w:val="none"/>
          <w:lang w:val="en-US" w:eastAsia="zh-CN" w:bidi="ar-SA"/>
        </w:rPr>
        <w:t>开展禽白血病、新城疫、鸡滑液囊支原体等主要种源性疾病流行病学调查</w:t>
      </w:r>
      <w:r>
        <w:rPr>
          <w:rFonts w:hint="eastAsia" w:ascii="仿宋_GB2312" w:hAnsi="仿宋_GB2312" w:eastAsia="仿宋_GB2312" w:cs="仿宋_GB2312"/>
          <w:bCs/>
          <w:color w:val="auto"/>
          <w:kern w:val="0"/>
          <w:sz w:val="32"/>
          <w:szCs w:val="32"/>
          <w:highlight w:val="none"/>
          <w:lang w:val="en-US" w:eastAsia="zh-CN" w:bidi="ar-SA"/>
        </w:rPr>
        <w:t>，形成流行病学调查报告，为我省防控重大动物疫病提供参考依据。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3.申报对象及条件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省内高校或科研院所，具备良好的禽病研究基础和条件。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4.</w:t>
      </w:r>
      <w:r>
        <w:rPr>
          <w:rFonts w:hint="eastAsia" w:ascii="仿宋_GB2312" w:hAnsi="仿宋_GB2312" w:eastAsia="仿宋_GB2312" w:cs="仿宋_GB2312"/>
          <w:b w:val="0"/>
          <w:bCs w:val="0"/>
          <w:color w:val="auto"/>
          <w:kern w:val="0"/>
          <w:sz w:val="32"/>
          <w:szCs w:val="32"/>
          <w:highlight w:val="none"/>
          <w:lang w:val="en-US" w:eastAsia="zh-CN" w:bidi="ar-SA"/>
        </w:rPr>
        <w:t>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（三）生猪屠宰质量规范与肉品品质分析研究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zh-CN" w:eastAsia="zh-CN" w:bidi="ar-SA"/>
        </w:rPr>
        <w:t>根据生猪质量管理规范（屠宰GMP）编制质量管理体系建设指引，开展屠宰企业标准化建设技术修订，标准化屠宰企业现场评估与技术指导等工作。研究屠宰应激对猪肉品质的影响，提出品质变化指标影响因素，并完成猪肉产品中病原菌检测100份</w:t>
      </w:r>
      <w:r>
        <w:rPr>
          <w:rFonts w:hint="eastAsia" w:ascii="仿宋_GB2312" w:hAnsi="仿宋_GB2312" w:eastAsia="仿宋_GB2312" w:cs="仿宋_GB2312"/>
          <w:kern w:val="0"/>
          <w:sz w:val="32"/>
          <w:szCs w:val="32"/>
          <w:highlight w:val="none"/>
          <w:lang w:val="en-US" w:eastAsia="zh-CN" w:bidi="ar-SA"/>
        </w:rPr>
        <w:t>。</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编制生猪屠宰质量管理体系建设指引1份。建立屠宰企业标准化建设技术体系1套，为省级开展生猪屠宰企业标准化建设提供技术支持，组织专家开展标准化屠宰企业现场评估与技术指导8-10家，推动屠宰企业产能升级。提交特定腐败菌变化规律分析报告1份</w:t>
      </w:r>
      <w:r>
        <w:rPr>
          <w:rFonts w:hint="eastAsia" w:ascii="仿宋_GB2312" w:hAnsi="仿宋_GB2312" w:eastAsia="仿宋_GB2312" w:cs="仿宋_GB2312"/>
          <w:kern w:val="0"/>
          <w:sz w:val="32"/>
          <w:szCs w:val="32"/>
          <w:highlight w:val="none"/>
          <w:lang w:val="en-US" w:eastAsia="zh-CN" w:bidi="ar-SA"/>
        </w:rPr>
        <w:t>。</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bCs/>
          <w:color w:val="000000"/>
          <w:kern w:val="0"/>
          <w:sz w:val="32"/>
          <w:szCs w:val="32"/>
          <w:highlight w:val="none"/>
          <w:lang w:val="en-US" w:eastAsia="zh-CN" w:bidi="ar-SA"/>
        </w:rPr>
        <w:t>省内高校或科研院所，具有良好的屠宰兽医专业研究基础与能力，熟悉国家与省畜禽屠宰管理技术规范与检验规程。</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项目资金额度不超过50万元。项目承担单位需自行测算项目需求金额，在申报书中提供资金测算过程及测算依据。最终金额以我单位测算核实为准。项目预算金额测算是否详细、合理将纳入评审标准。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b w:val="0"/>
          <w:bCs w:val="0"/>
          <w:color w:val="auto"/>
          <w:spacing w:val="0"/>
          <w:kern w:val="0"/>
          <w:sz w:val="32"/>
          <w:szCs w:val="32"/>
          <w:highlight w:val="none"/>
          <w:lang w:val="en-US" w:eastAsia="zh-CN"/>
        </w:rPr>
        <w:t>（四）养殖环节牛羊布鲁氏菌病风险评估及防控策略研究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对省内规模化牛羊养殖场引种、育肥、繁殖，隔离舍、青储舍等养殖环境以及生产各环节开展布鲁氏菌病监测，重点关注引种繁育环节，开展风险评估，提出牛羊养殖场布鲁氏菌病防控针对性策略及方案，减少养殖人员感染及公共卫生安全风险。</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完成养殖环节牛羊布鲁氏菌病风险评估及防控研究，对省内牛羊养殖场开展养殖全环节布病监测。形成养殖环节布病防控方案1份。</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3.申报对象及条件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省内高校或科研院所，具有良好的牛羊疫病研究基础与条件。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4.项目资金额度</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（五）高致病性禽流感流行和变异规律研究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针对高致病性禽流感病毒流行与变异规律等关键科学问题，开展高致病性禽流感病毒的分离鉴定、遗传变异、分子溯源和风险预警研究，完善高致病性禽流感病原学和流行病学数据库，揭示高致病性禽流感流行规律和趋势，对高致病性禽流感疫情进行应急研判，为防控措施的制定和优化提供科学依据。</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完成高致病性禽流感疫情流行态势分析，对广东省高致病性禽流感疫情发生风险进行研判和预警。制备高致病性禽流感病毒抗血清不少于10株，完成对高致病性禽流感疫苗保护效果的评估。形成高致病性禽流感疫情研判和病毒变异分析报告1份。</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3.申报对象及条件</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省内高校或科研院所，要求具备良好的家禽疫病研究基础与能力。</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4.项目资金额度</w:t>
      </w:r>
    </w:p>
    <w:p>
      <w:pPr>
        <w:numPr>
          <w:ilvl w:val="0"/>
          <w:numId w:val="0"/>
        </w:numPr>
        <w:adjustRightInd w:val="0"/>
        <w:snapToGrid w:val="0"/>
        <w:spacing w:beforeLines="0" w:afterLines="0" w:line="568"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万元。项目承担单位需自行测算项目需求金额，在申报书中提供资金测算过程及测算依据。最终金额以我单位测算核实为准。项目预算金额测算是否详细、合理将纳入评审标准。</w:t>
      </w:r>
    </w:p>
    <w:p>
      <w:pPr>
        <w:pStyle w:val="10"/>
        <w:keepNext w:val="0"/>
        <w:keepLines w:val="0"/>
        <w:pageBreakBefore w:val="0"/>
        <w:kinsoku/>
        <w:wordWrap/>
        <w:overflowPunct/>
        <w:topLinePunct w:val="0"/>
        <w:autoSpaceDE/>
        <w:autoSpaceDN/>
        <w:bidi w:val="0"/>
        <w:adjustRightInd w:val="0"/>
        <w:snapToGrid w:val="0"/>
        <w:spacing w:beforeLines="0" w:afterLines="0" w:line="568" w:lineRule="exact"/>
        <w:ind w:left="0" w:leftChars="0" w:right="0" w:rightChars="0" w:firstLine="632"/>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三、申报材料要求</w:t>
      </w:r>
    </w:p>
    <w:p>
      <w:pPr>
        <w:pStyle w:val="10"/>
        <w:keepNext w:val="0"/>
        <w:keepLines w:val="0"/>
        <w:pageBreakBefore w:val="0"/>
        <w:kinsoku/>
        <w:wordWrap/>
        <w:overflowPunct/>
        <w:topLinePunct w:val="0"/>
        <w:autoSpaceDE/>
        <w:autoSpaceDN/>
        <w:bidi w:val="0"/>
        <w:adjustRightInd w:val="0"/>
        <w:snapToGrid w:val="0"/>
        <w:spacing w:beforeLines="0" w:afterLines="0" w:line="568" w:lineRule="exact"/>
        <w:ind w:left="0" w:leftChars="0" w:right="0" w:rightChars="0" w:firstLine="632"/>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eastAsia="zh-CN"/>
        </w:rPr>
        <w:t>项目使用第9类《农业科研类及技术推广示范类项目申报书模板》。</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（二）项目申报书中应详细介绍项目申报团队现有的能够为项目高质量开展提供的人员基础、技术支撑基础、理论基础和硬件设施基础等，应明确项目详细建设计划，确保项目顺利开展。</w:t>
      </w:r>
    </w:p>
    <w:p>
      <w:pPr>
        <w:numPr>
          <w:ilvl w:val="0"/>
          <w:numId w:val="0"/>
        </w:numPr>
        <w:adjustRightInd w:val="0"/>
        <w:snapToGrid w:val="0"/>
        <w:spacing w:beforeLines="0" w:afterLines="0"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附件3</w:t>
      </w:r>
    </w:p>
    <w:p>
      <w:p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农业科技发展及资源环境保护管理</w:t>
      </w:r>
    </w:p>
    <w:p>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项目入库申报指南</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beforeLines="0" w:afterLines="0" w:line="590" w:lineRule="exact"/>
        <w:ind w:leftChars="0" w:right="0" w:rightChars="0" w:firstLine="632" w:firstLineChars="200"/>
        <w:jc w:val="both"/>
        <w:textAlignment w:val="auto"/>
        <w:outlineLvl w:val="9"/>
        <w:rPr>
          <w:rFonts w:hint="eastAsia" w:ascii="仿宋_GB2312" w:hAnsi="仿宋_GB2312" w:eastAsia="仿宋_GB2312" w:cs="仿宋_GB2312"/>
          <w:bCs/>
          <w:kern w:val="0"/>
          <w:sz w:val="32"/>
          <w:szCs w:val="32"/>
          <w:lang w:eastAsia="zh-CN"/>
        </w:rPr>
      </w:pPr>
    </w:p>
    <w:p>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一、总体目标</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eastAsia="仿宋_GB2312" w:cs="仿宋_GB2312"/>
          <w:b w:val="0"/>
          <w:bCs/>
          <w:color w:val="auto"/>
          <w:kern w:val="0"/>
          <w:sz w:val="32"/>
          <w:szCs w:val="32"/>
          <w:lang w:val="en-US" w:eastAsia="zh-CN"/>
        </w:rPr>
        <w:t>立足于服务乡村振兴和农业农村现代化，凝聚全省农业科技资源，以财政资金为导向，围绕我省现代农业发展的现实需求，加强农业科技发展，推进</w:t>
      </w:r>
      <w:r>
        <w:rPr>
          <w:rFonts w:hint="eastAsia" w:ascii="仿宋_GB2312" w:hAnsi="仿宋_GB2312" w:cs="仿宋_GB2312"/>
          <w:b w:val="0"/>
          <w:bCs/>
          <w:color w:val="auto"/>
          <w:kern w:val="0"/>
          <w:sz w:val="32"/>
          <w:szCs w:val="32"/>
          <w:lang w:val="en-US" w:eastAsia="zh-CN"/>
        </w:rPr>
        <w:t>农业科学技术推广</w:t>
      </w:r>
      <w:r>
        <w:rPr>
          <w:rFonts w:hint="eastAsia" w:ascii="仿宋_GB2312" w:hAnsi="仿宋_GB2312" w:eastAsia="仿宋_GB2312" w:cs="仿宋_GB2312"/>
          <w:b w:val="0"/>
          <w:bCs/>
          <w:color w:val="auto"/>
          <w:kern w:val="0"/>
          <w:sz w:val="32"/>
          <w:szCs w:val="32"/>
          <w:lang w:val="en-US" w:eastAsia="zh-CN"/>
        </w:rPr>
        <w:t>，推进农业农村生态环境保护，强化农业生物安全监管，切实推进农业科技及环保能源发展，为广东农业可持续发展提供有效支撑。</w:t>
      </w:r>
    </w:p>
    <w:p>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二、扶持项目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eastAsia="zh-CN"/>
        </w:rPr>
      </w:pPr>
      <w:r>
        <w:rPr>
          <w:rFonts w:hint="eastAsia" w:ascii="楷体_GB2312" w:hAnsi="楷体_GB2312" w:eastAsia="楷体_GB2312" w:cs="楷体_GB2312"/>
          <w:b w:val="0"/>
          <w:bCs/>
          <w:snapToGrid w:val="0"/>
          <w:kern w:val="0"/>
          <w:sz w:val="32"/>
          <w:szCs w:val="32"/>
          <w:lang w:val="en-US" w:eastAsia="zh-CN"/>
        </w:rPr>
        <w:t>（一）设施蓝莓新品种引进筛选与适应性评价</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广东是我国发展设施早熟优质蓝莓的优势地区之一，近几年已发展了近万亩。但因品种与技术等因素的限制，产业高质量发展受到了一定的约束。根据广东地区的气候特点和市场需求，通过品种引进和培育，筛选育一批适宜我省种植的优质蓝莓品种，并建立高效种苗脱毒快繁体系和繁育基地、新品种展示基地，配套研究轻简化栽培技术，促进我省蓝莓特色产业的快速发展，提升我省蓝莓产业的市场竞争力，助力我省农业高质量发展。相关资金支出主要用于设备及实验耗材购置，测试化验及分析，燃料动力运行，知识产权申请、论文发表，研讨、调研等。</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筛选出2-3个适应性良好的优质品种；形成包含种苗脱毒快繁的组培再生体系；繁殖推广优良种苗10万株，建立新品种设施蓝莓生产示范基地2个，共300亩。</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（1）申报对象为广东省内具有独立法人资格的省级及以上科研机构、高等院校等，每个独立法人单位限报一个项目。</w:t>
      </w: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（2）申报对象具有较完善的项目和财务管理制度，信用记录良好。</w:t>
      </w: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（3）申报对象在蓝莓研究方面具有扎实的工作基础，具有较好的科技平台条件和人才条件。</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adjustRightInd w:val="0"/>
        <w:snapToGrid w:val="0"/>
        <w:spacing w:beforeLines="0" w:afterLines="0" w:line="590" w:lineRule="exact"/>
        <w:ind w:left="0" w:leftChars="0" w:firstLine="632"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color w:val="auto"/>
          <w:kern w:val="0"/>
          <w:szCs w:val="32"/>
          <w:highlight w:val="none"/>
          <w:lang w:val="zh-CN" w:eastAsia="zh-CN"/>
        </w:rPr>
        <w:t>项目</w:t>
      </w:r>
      <w:r>
        <w:rPr>
          <w:rFonts w:hint="eastAsia" w:ascii="仿宋_GB2312" w:hAnsi="仿宋_GB2312" w:eastAsia="仿宋_GB2312" w:cs="仿宋_GB2312"/>
          <w:color w:val="auto"/>
          <w:kern w:val="0"/>
          <w:szCs w:val="32"/>
          <w:highlight w:val="none"/>
          <w:lang w:val="zh-CN"/>
        </w:rPr>
        <w:t>资金</w:t>
      </w:r>
      <w:r>
        <w:rPr>
          <w:rFonts w:hint="eastAsia" w:ascii="仿宋_GB2312" w:hAnsi="仿宋_GB2312" w:eastAsia="仿宋_GB2312" w:cs="仿宋_GB2312"/>
          <w:color w:val="auto"/>
          <w:kern w:val="0"/>
          <w:szCs w:val="32"/>
          <w:highlight w:val="none"/>
          <w:lang w:val="zh-CN" w:eastAsia="zh-CN"/>
        </w:rPr>
        <w:t>额度</w:t>
      </w:r>
      <w:r>
        <w:rPr>
          <w:rFonts w:hint="eastAsia" w:ascii="仿宋_GB2312" w:hAnsi="仿宋_GB2312" w:eastAsia="仿宋_GB2312" w:cs="仿宋_GB2312"/>
          <w:color w:val="auto"/>
          <w:kern w:val="0"/>
          <w:szCs w:val="32"/>
          <w:highlight w:val="none"/>
          <w:lang w:val="zh-CN"/>
        </w:rPr>
        <w:t>不超过</w:t>
      </w:r>
      <w:r>
        <w:rPr>
          <w:rFonts w:hint="eastAsia" w:ascii="仿宋_GB2312" w:hAnsi="仿宋_GB2312" w:eastAsia="仿宋_GB2312" w:cs="仿宋_GB2312"/>
          <w:color w:val="auto"/>
          <w:kern w:val="0"/>
          <w:szCs w:val="32"/>
          <w:highlight w:val="none"/>
          <w:lang w:val="en-US" w:eastAsia="zh-CN"/>
        </w:rPr>
        <w:t>200</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（二）2024年广东省南繁基地转基因生物安全监测</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对广东省涉农科研育种单位南繁育种基地的南繁农作物、蔬菜等植株进行转基因成分检测，强化南繁基地农业转基因生物安全的源头监管，有效防范以水稻、玉米为代表的主要粮食作物转基因材料非法扩散，保障南繁地区的生物安全。</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完成广东省涉农科研育种单位南繁育种基地农作物田间抽样及快速检测，抽检样品数不少于200份。</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（2）申报对象具有较完善的项目和财务管理制度，信用记录良好。</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Cs w:val="32"/>
          <w:lang w:val="en-US" w:eastAsia="zh-CN"/>
        </w:rPr>
        <w:t>（3）申报对象具有长期从事南繁育种的工作基础和明显的技术优势；拥有常驻海南的专业人才队伍优先；具有开展该项任务所必需的设施条件及运行管理经验。</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（三）2024年广东省农业转基因生物安全监督与监测</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对全省主要农作物进行抽样，检测转基因成分，严防转基因作物非法种植及转基因农作物种子非法生产与经营；对省内转基因生物加工企业监督抽查，严防进口转基因生物进入非法用途；对申请进口转基因生物加工许可的企业开展现场核查评审；开展转基因知识科普宣传，推动公众形成正确的转基因生物安全观。</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完成广东省农业转基因生物抽样与检测不少于300份；对转基因生物加工企业的监督检查不少于5批次；完成申请进口转基因生物加工资质企业检查评审不少于25家；开展2次转基因知识的科普宣传与培训，</w:t>
      </w:r>
      <w:r>
        <w:rPr>
          <w:rFonts w:hint="eastAsia" w:ascii="仿宋_GB2312" w:hAnsi="仿宋_GB2312" w:cs="仿宋_GB2312"/>
          <w:kern w:val="0"/>
          <w:szCs w:val="32"/>
          <w:highlight w:val="none"/>
          <w:lang w:val="en-US" w:eastAsia="zh-CN"/>
        </w:rPr>
        <w:t>培训人数200人</w:t>
      </w:r>
      <w:r>
        <w:rPr>
          <w:rFonts w:hint="eastAsia" w:ascii="仿宋_GB2312" w:hAnsi="仿宋_GB2312" w:cs="仿宋_GB2312"/>
          <w:kern w:val="0"/>
          <w:szCs w:val="32"/>
          <w:lang w:val="en-US" w:eastAsia="zh-CN"/>
        </w:rPr>
        <w:t>。</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（2）申报对象具有较完善的项目和财务管理制度，信用记录良好。</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Cs w:val="32"/>
          <w:lang w:val="en-US" w:eastAsia="zh-CN"/>
        </w:rPr>
        <w:t>（3）申报对象具有CMA和CATL资质，优先支持具有转基因生物监督监测经验的单位。</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textAlignment w:val="auto"/>
        <w:rPr>
          <w:rFonts w:hint="eastAsia" w:ascii="仿宋_GB2312" w:hAnsi="仿宋_GB2312" w:eastAsia="仿宋_GB2312" w:cs="仿宋_GB2312"/>
          <w:b/>
          <w:bCs/>
          <w:snapToGrid w:val="0"/>
          <w:kern w:val="0"/>
          <w:sz w:val="32"/>
          <w:szCs w:val="32"/>
          <w:lang w:val="en-US" w:eastAsia="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80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（四）国家（广东）农业基础性长期性科技工作观测研究</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根据国家农业基础性长期性科技工作思路和部署，结合我省生态区域农业生产要素特点及实际，组织我省国家农业科学实验站开展农业生产要素基础性长期性观测研究工作。</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numPr>
          <w:ilvl w:val="0"/>
          <w:numId w:val="0"/>
        </w:numPr>
        <w:adjustRightInd w:val="0"/>
        <w:snapToGrid w:val="0"/>
        <w:spacing w:beforeLines="0" w:after="0" w:afterLines="0" w:line="590" w:lineRule="exact"/>
        <w:ind w:left="0" w:leftChars="0" w:firstLine="632"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获得一批观测数据和研究成果，为推动农业科学技术发展和科学安排农业生产提供重要数据信息支撑。完成2500份以上作物种质资源等领域的监测工作；收集2500条以上监测数据；保存监测资源25份以上。</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（1）申报对象为广东省列入农业农村部国家农业科学实验站的依托单位，每个独立法人单位限报一个项目。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（2）申报对象对农业基础性长期性科技工作具有较强的工作基础，具有较好科技平台条件和人才条件。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Cs w:val="32"/>
          <w:lang w:val="en-US" w:eastAsia="zh-CN"/>
        </w:rPr>
        <w:t>（3）申报对象管理制度完善、规范，组织协调能力强，能较好地承接对国家数据中心的联系并组织联络省内各实验站的工作。</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adjustRightInd w:val="0"/>
        <w:snapToGrid w:val="0"/>
        <w:spacing w:beforeLines="0" w:afterLines="0" w:line="590" w:lineRule="exact"/>
        <w:ind w:left="0" w:leftChars="0" w:firstLine="632"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（五）全省农技推广服务驿站技术支撑</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安排农业科技人员驻点，为农民提供最新、精准技术服务；对口帮扶当地农业科研、农技推广机构、高素质农民，提升基层科研、农技人员素质；通过新品种、新技术、新装备在驿站的集中展示、试验，促进科研成果转化，科技支撑地方农业品牌建设。</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安排50名以上农业科技人员驻点农技驿站；在农技驿站示范推广应用不少于30个（项）以上新品种、新技术、新成果，示范面积300亩以上，并免费提供配套的技术指导；开展技术培训、科技下乡、展览展示50场次以上；培训乡土专家、农技骨干、当地农民群众不少于500人；在新闻媒体上发布驿站服务工作报道25篇以上。</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（2）申报对象具有组建全产业链专家服务团队的人才资源与技术条件，能为全省所有县级农业技术推广服务驿站提供全面的技术支撑服务。</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Cs w:val="32"/>
          <w:lang w:val="en-US" w:eastAsia="zh-CN"/>
        </w:rPr>
        <w:t>（3）优先支持与省级现代农业产业园或地市（县、区）农业科研推广机构合作基础较好的申报单位。</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adjustRightInd w:val="0"/>
        <w:snapToGrid w:val="0"/>
        <w:spacing w:beforeLines="0" w:afterLines="0" w:line="590" w:lineRule="exact"/>
        <w:ind w:left="0" w:leftChars="0" w:firstLine="632"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（六）2024年度广东省农产品产地土壤环境例行监测</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根据《广东省“十四五”农产品产地环境监测工作方案》（粤农农办〔2022〕140号），2024年在深圳、汕头等11市的安全利用类耕地布设约1000个点位，开展农产品采样和检测，其中约10%的点位开展土壤协同采样和检测。掌握被监测区域受污染耕地安全利用整体状况，指导各地提升优化安全利用水平。</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子项目1：</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建立农产品监测点位1000个，其中每10个农产品采取1个土壤样品，即农产品样品1000个、土壤样品100个，将样品进行二次编码后流转到子项目2。</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子项目2：</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对子项目1的所采样品进行分析测试，整理分析测试结果。对接子项目1的点位单元，分类列示区域数据，形成数据集，并形成1份广东省部分地区土壤环境质量报告，提交给项目主管部门。</w:t>
      </w:r>
    </w:p>
    <w:p>
      <w:pPr>
        <w:numPr>
          <w:ilvl w:val="0"/>
          <w:numId w:val="0"/>
        </w:numPr>
        <w:adjustRightInd w:val="0"/>
        <w:snapToGrid w:val="0"/>
        <w:spacing w:beforeLines="0" w:afterLines="0" w:line="590" w:lineRule="exact"/>
        <w:ind w:leftChars="0"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（1）申报对象为广东省内具有独立法人资格的省级及以上科研机构、高等院校等，每个独立法人单位限报一个子项目。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（2）申报对象具有较完善的项目和财务管理制度，信用记录良好。</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（3）申报对象在土壤与农产品采样、测试分析等方面具有扎实的工作基础，具有较好的科技平台条件和人才条件。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Cs w:val="32"/>
          <w:lang w:val="en-US" w:eastAsia="zh-CN"/>
        </w:rPr>
        <w:t>（4）申报对象需在项目名称后用括号备注是子项目1还是子项目2。</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adjustRightInd w:val="0"/>
        <w:snapToGrid w:val="0"/>
        <w:spacing w:beforeLines="0" w:afterLines="0" w:line="590" w:lineRule="exact"/>
        <w:ind w:left="0" w:leftChars="0" w:firstLine="632"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子项目</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Cs w:val="32"/>
          <w:highlight w:val="none"/>
          <w:lang w:val="zh-CN"/>
        </w:rPr>
        <w:t>，</w:t>
      </w:r>
      <w:r>
        <w:rPr>
          <w:rFonts w:hint="eastAsia" w:ascii="仿宋_GB2312" w:hAnsi="仿宋_GB2312" w:eastAsia="仿宋_GB2312" w:cs="仿宋_GB2312"/>
          <w:color w:val="auto"/>
          <w:kern w:val="0"/>
          <w:sz w:val="32"/>
          <w:szCs w:val="32"/>
          <w:highlight w:val="none"/>
          <w:lang w:val="zh-CN" w:eastAsia="zh-CN"/>
        </w:rPr>
        <w:t>子项目</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Cs w:val="32"/>
          <w:highlight w:val="none"/>
          <w:lang w:val="zh-CN"/>
        </w:rPr>
        <w:t>。</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三、申报材料要求</w:t>
      </w:r>
    </w:p>
    <w:p>
      <w:pPr>
        <w:adjustRightInd w:val="0"/>
        <w:snapToGrid w:val="0"/>
        <w:spacing w:beforeLines="0" w:afterLines="0" w:line="590" w:lineRule="exact"/>
        <w:ind w:firstLine="632" w:firstLineChars="200"/>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color w:val="auto"/>
          <w:spacing w:val="0"/>
          <w:kern w:val="0"/>
          <w:sz w:val="32"/>
          <w:szCs w:val="32"/>
          <w:highlight w:val="none"/>
          <w:lang w:val="en-US" w:eastAsia="zh-CN"/>
        </w:rPr>
        <w:t>项目1、5请使用第9类《农业科研类及技术推广示范类项目申报书模板》；</w:t>
      </w: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lang w:val="en-US" w:eastAsia="zh-CN"/>
        </w:rPr>
        <w:t>2、3、4、6请使用第11类《农业监测检测、调查普</w:t>
      </w:r>
      <w:r>
        <w:rPr>
          <w:rFonts w:hint="eastAsia" w:ascii="仿宋_GB2312" w:hAnsi="仿宋_GB2312" w:eastAsia="仿宋_GB2312" w:cs="仿宋_GB2312"/>
          <w:color w:val="auto"/>
          <w:spacing w:val="0"/>
          <w:kern w:val="0"/>
          <w:sz w:val="32"/>
          <w:szCs w:val="32"/>
          <w:highlight w:val="none"/>
          <w:lang w:val="en-US" w:eastAsia="zh-CN"/>
        </w:rPr>
        <w:t>查项目申报书模板》。</w:t>
      </w:r>
      <w:r>
        <w:rPr>
          <w:rFonts w:hint="eastAsia" w:ascii="仿宋_GB2312" w:hAnsi="仿宋_GB2312" w:eastAsia="仿宋_GB2312" w:cs="仿宋_GB2312"/>
          <w:b/>
          <w:bCs w:val="0"/>
          <w:kern w:val="0"/>
          <w:sz w:val="32"/>
          <w:szCs w:val="32"/>
          <w:lang w:val="en-US" w:eastAsia="zh-CN"/>
        </w:rPr>
        <w:t xml:space="preserve">  </w:t>
      </w:r>
    </w:p>
    <w:p>
      <w:pPr>
        <w:adjustRightInd w:val="0"/>
        <w:snapToGrid w:val="0"/>
        <w:spacing w:beforeLines="0" w:afterLines="0" w:line="590" w:lineRule="exact"/>
        <w:ind w:firstLine="632" w:firstLineChars="200"/>
        <w:rPr>
          <w:rFonts w:hint="eastAsia" w:ascii="仿宋_GB2312" w:hAnsi="仿宋_GB2312" w:eastAsia="仿宋_GB2312" w:cs="仿宋_GB2312"/>
          <w:b/>
          <w:bCs w:val="0"/>
          <w:kern w:val="0"/>
          <w:sz w:val="32"/>
          <w:szCs w:val="32"/>
          <w:lang w:val="en-US" w:eastAsia="zh-CN"/>
        </w:rPr>
        <w:sectPr>
          <w:headerReference r:id="rId3" w:type="first"/>
          <w:footerReference r:id="rId5" w:type="first"/>
          <w:footerReference r:id="rId4" w:type="default"/>
          <w:pgSz w:w="11906" w:h="16838"/>
          <w:pgMar w:top="1871" w:right="1531" w:bottom="1871" w:left="1531" w:header="851" w:footer="1417" w:gutter="0"/>
          <w:pgNumType w:fmt="decimal"/>
          <w:cols w:space="720" w:num="1"/>
          <w:titlePg/>
          <w:rtlGutter w:val="0"/>
          <w:docGrid w:type="linesAndChars" w:linePitch="590" w:charSpace="-1024"/>
        </w:sect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0" w:firstLineChars="0"/>
        <w:textAlignment w:val="auto"/>
        <w:rPr>
          <w:rFonts w:hint="eastAsia" w:ascii="黑体" w:hAnsi="黑体" w:eastAsia="黑体" w:cs="黑体"/>
          <w:bCs/>
          <w:color w:val="auto"/>
          <w:szCs w:val="32"/>
          <w:lang w:val="en-US" w:eastAsia="zh-CN"/>
        </w:rPr>
      </w:pPr>
      <w:r>
        <w:rPr>
          <w:rFonts w:hint="eastAsia" w:ascii="黑体" w:hAnsi="黑体" w:eastAsia="黑体" w:cs="黑体"/>
          <w:bCs/>
          <w:color w:val="auto"/>
          <w:szCs w:val="32"/>
          <w:lang w:val="en-US" w:eastAsia="zh-CN"/>
        </w:rPr>
        <w:t>附件4</w:t>
      </w:r>
    </w:p>
    <w:p>
      <w:pPr>
        <w:pStyle w:val="3"/>
        <w:keepNext w:val="0"/>
        <w:keepLines w:val="0"/>
        <w:adjustRightInd w:val="0"/>
        <w:snapToGrid w:val="0"/>
        <w:spacing w:before="0" w:beforeLines="0" w:after="0" w:afterLines="0" w:line="560" w:lineRule="exact"/>
        <w:ind w:firstLine="64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p>
    <w:p>
      <w:pPr>
        <w:pStyle w:val="3"/>
        <w:keepNext w:val="0"/>
        <w:keepLines w:val="0"/>
        <w:adjustRightInd w:val="0"/>
        <w:snapToGrid w:val="0"/>
        <w:spacing w:before="0" w:beforeLines="0" w:after="0" w:afterLines="0" w:line="560" w:lineRule="exact"/>
        <w:ind w:firstLine="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2024年乡村振兴战略专项资金省级项目</w:t>
      </w:r>
    </w:p>
    <w:p>
      <w:pPr>
        <w:pStyle w:val="3"/>
        <w:keepNext w:val="0"/>
        <w:keepLines w:val="0"/>
        <w:adjustRightInd w:val="0"/>
        <w:snapToGrid w:val="0"/>
        <w:spacing w:before="0" w:beforeLines="0" w:after="0" w:afterLines="0" w:line="560" w:lineRule="exact"/>
        <w:ind w:firstLine="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（第一批）入库申报汇总表</w:t>
      </w:r>
    </w:p>
    <w:p>
      <w:pPr>
        <w:pStyle w:val="3"/>
        <w:keepNext w:val="0"/>
        <w:keepLines w:val="0"/>
        <w:adjustRightInd w:val="0"/>
        <w:snapToGrid w:val="0"/>
        <w:spacing w:before="0" w:beforeLines="0" w:after="0" w:afterLines="0" w:line="560" w:lineRule="exact"/>
        <w:ind w:firstLine="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p>
    <w:p>
      <w:pPr>
        <w:pStyle w:val="3"/>
        <w:keepNext w:val="0"/>
        <w:keepLines w:val="0"/>
        <w:adjustRightInd w:val="0"/>
        <w:snapToGrid w:val="0"/>
        <w:spacing w:before="0" w:beforeLines="0" w:after="0" w:afterLines="0" w:line="560" w:lineRule="exact"/>
        <w:ind w:firstLine="0"/>
        <w:jc w:val="left"/>
        <w:rPr>
          <w:rFonts w:hint="eastAsia" w:ascii="方正小标宋简体" w:hAnsi="方正小标宋简体" w:eastAsia="方正小标宋简体" w:cs="方正小标宋简体"/>
          <w:b w:val="0"/>
          <w:bCs w:val="0"/>
          <w:color w:val="000000"/>
          <w:kern w:val="0"/>
          <w:sz w:val="24"/>
          <w:szCs w:val="24"/>
          <w:lang w:bidi="ar"/>
        </w:rPr>
      </w:pPr>
      <w:r>
        <w:rPr>
          <w:rFonts w:hint="eastAsia" w:ascii="仿宋_GB2312" w:hAnsi="宋体" w:eastAsia="仿宋_GB2312" w:cs="仿宋_GB2312"/>
          <w:b w:val="0"/>
          <w:bCs w:val="0"/>
          <w:i w:val="0"/>
          <w:color w:val="000000"/>
          <w:kern w:val="0"/>
          <w:sz w:val="24"/>
          <w:szCs w:val="24"/>
          <w:u w:val="none"/>
          <w:lang w:val="en-US" w:eastAsia="zh-CN" w:bidi="ar"/>
        </w:rPr>
        <w:t>项目申报单位（省直单位）：</w:t>
      </w:r>
    </w:p>
    <w:tbl>
      <w:tblPr>
        <w:tblStyle w:val="8"/>
        <w:tblW w:w="150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94"/>
        <w:gridCol w:w="1050"/>
        <w:gridCol w:w="2340"/>
        <w:gridCol w:w="1980"/>
        <w:gridCol w:w="1815"/>
        <w:gridCol w:w="1950"/>
        <w:gridCol w:w="1950"/>
        <w:gridCol w:w="1890"/>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Header/>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类别</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资金方向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扶持项目类型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项目名称</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项目承担单位</w:t>
            </w:r>
            <w:bookmarkStart w:id="1" w:name="_GoBack"/>
            <w:bookmarkEnd w:id="1"/>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default"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负责人</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建设内容</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绩效目标</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restart"/>
            <w:tcBorders>
              <w:left w:val="single" w:color="000000" w:sz="4" w:space="0"/>
              <w:right w:val="single" w:color="000000" w:sz="4" w:space="0"/>
            </w:tcBorders>
            <w:noWrap w:val="0"/>
            <w:vAlign w:val="center"/>
          </w:tcPr>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exact"/>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exact"/>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exact"/>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exact"/>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rPr>
            </w:pPr>
            <w:r>
              <w:rPr>
                <w:sz w:val="21"/>
              </w:rPr>
              <mc:AlternateContent>
                <mc:Choice Requires="wps">
                  <w:drawing>
                    <wp:anchor distT="0" distB="0" distL="114300" distR="114300" simplePos="0" relativeHeight="251661312" behindDoc="0" locked="0" layoutInCell="1" allowOverlap="1">
                      <wp:simplePos x="0" y="0"/>
                      <wp:positionH relativeFrom="column">
                        <wp:posOffset>-673100</wp:posOffset>
                      </wp:positionH>
                      <wp:positionV relativeFrom="paragraph">
                        <wp:posOffset>1414145</wp:posOffset>
                      </wp:positionV>
                      <wp:extent cx="419100" cy="951865"/>
                      <wp:effectExtent l="0" t="0" r="7620" b="8255"/>
                      <wp:wrapNone/>
                      <wp:docPr id="3" name="文本框 3"/>
                      <wp:cNvGraphicFramePr/>
                      <a:graphic xmlns:a="http://schemas.openxmlformats.org/drawingml/2006/main">
                        <a:graphicData uri="http://schemas.microsoft.com/office/word/2010/wordprocessingShape">
                          <wps:wsp>
                            <wps:cNvSpPr txBox="1"/>
                            <wps:spPr>
                              <a:xfrm>
                                <a:off x="659130" y="250888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111.35pt;height:74.95pt;width:33pt;z-index:251661312;mso-width-relative:page;mso-height-relative:page;" fillcolor="#FFFFFF" filled="t" stroked="f" coordsize="21600,21600" o:gfxdata="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g/xky2gAAAAwBAAAPAAAAAAAAAAEAIAAAACIAAABkcnMvZG93bnJldi54bWxQSwEC&#10;FAAUAAAACACHTuJAqp9WC2QCAACpBAAADgAAAAAAAAABACAAAAApAQAAZHJzL2Uyb0RvYy54bWxQ&#10;SwUGAAAAAAYABgBZAQAA/wUAAAAA&#10;">
                      <v:fill on="t"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25 —</w:t>
                            </w:r>
                          </w:p>
                        </w:txbxContent>
                      </v:textbox>
                    </v:shape>
                  </w:pict>
                </mc:Fallback>
              </mc:AlternateContent>
            </w:r>
            <w:r>
              <w:rPr>
                <w:rFonts w:hint="eastAsia" w:ascii="仿宋_GB2312" w:hAnsi="仿宋_GB2312" w:eastAsia="仿宋_GB2312" w:cs="仿宋_GB2312"/>
                <w:i w:val="0"/>
                <w:color w:val="000000"/>
                <w:sz w:val="21"/>
                <w:szCs w:val="21"/>
                <w:u w:val="none"/>
                <w:lang w:val="en-US" w:eastAsia="zh-CN"/>
              </w:rPr>
              <w:t>2024年乡村振兴战略专项资金省级项目（第一批）</w:t>
            </w:r>
          </w:p>
        </w:tc>
        <w:tc>
          <w:tcPr>
            <w:tcW w:w="1050"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numPr>
                <w:ilvl w:val="0"/>
                <w:numId w:val="0"/>
              </w:numPr>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一、农作物病虫疫情防控和农药研发项目</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default"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1.农作物病虫害防控</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2.农业检疫性有害生物防控与农药试验研究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3.小宗作物用药登记试验</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default"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restart"/>
            <w:tcBorders>
              <w:top w:val="single" w:color="auto"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二、动物疫病防控及监测检测项目</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1.猪牛羊病净化复核检测及流行病学调查</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2.重要禽病净化复核及流行病学监测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3.生猪屠宰质量规范与肉品品质分析研究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4.养殖环节牛羊布鲁氏菌病风险评估及防控策略研究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bottom w:val="single" w:color="auto"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5.高致病性禽流感流行和变异规律研究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restart"/>
            <w:tcBorders>
              <w:top w:val="single" w:color="auto" w:sz="4" w:space="0"/>
              <w:left w:val="single" w:color="000000" w:sz="4" w:space="0"/>
              <w:right w:val="single" w:color="000000" w:sz="4" w:space="0"/>
            </w:tcBorders>
            <w:noWrap w:val="0"/>
            <w:vAlign w:val="center"/>
          </w:tcPr>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-670560</wp:posOffset>
                      </wp:positionH>
                      <wp:positionV relativeFrom="paragraph">
                        <wp:posOffset>-482600</wp:posOffset>
                      </wp:positionV>
                      <wp:extent cx="419100" cy="838835"/>
                      <wp:effectExtent l="0" t="0" r="7620" b="14605"/>
                      <wp:wrapNone/>
                      <wp:docPr id="1" name="文本框 1"/>
                      <wp:cNvGraphicFramePr/>
                      <a:graphic xmlns:a="http://schemas.openxmlformats.org/drawingml/2006/main">
                        <a:graphicData uri="http://schemas.microsoft.com/office/word/2010/wordprocessingShape">
                          <wps:wsp>
                            <wps:cNvSpPr txBox="1"/>
                            <wps:spPr>
                              <a:xfrm>
                                <a:off x="659130" y="250888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26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8pt;margin-top:-38pt;height:66.05pt;width:33pt;z-index:251662336;mso-width-relative:page;mso-height-relative:page;" fillcolor="#FFFFFF" filled="t" stroked="f" coordsize="21600,21600" o:gfxdata="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5vHVtgAAAALAQAADwAAAAAAAAABACAAAAAiAAAAZHJzL2Rvd25yZXYueG1sUEsBAhQA&#10;FAAAAAgAh07iQAANKfJkAgAAqQQAAA4AAAAAAAAAAQAgAAAAJwEAAGRycy9lMm9Eb2MueG1sUEsF&#10;BgAAAAAGAAYAWQEAAP0FAAAAAA==&#10;">
                      <v:fill on="t"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26 —</w:t>
                            </w:r>
                          </w:p>
                        </w:txbxContent>
                      </v:textbox>
                    </v:shape>
                  </w:pict>
                </mc:Fallback>
              </mc:AlternateContent>
            </w: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2024年乡村振兴战略专项资金省级项目（第一批）</w:t>
            </w:r>
          </w:p>
        </w:tc>
        <w:tc>
          <w:tcPr>
            <w:tcW w:w="1050" w:type="dxa"/>
            <w:vMerge w:val="restart"/>
            <w:tcBorders>
              <w:top w:val="single" w:color="auto"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三、农业科技发展及资源环境保护管理项目</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1.设施蓝莓新品种引进筛选与适应性评价</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2.2024年广东省南繁基地转基因生物安全监测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3.2024年广东省农业转基因生物安全监督与监测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4.国家（广东）农业基础性长期性科技工作观测研究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5.全省农技推广服务驿站技术支撑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bottom w:val="single" w:color="auto"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6.2024年度广东省农产品产地土壤环境例行监测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default"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bl>
    <w:p>
      <w:pPr>
        <w:pStyle w:val="11"/>
        <w:spacing w:line="240" w:lineRule="exact"/>
        <w:ind w:left="0" w:leftChars="0" w:right="0" w:rightChars="0" w:firstLine="0" w:firstLineChars="0"/>
        <w:rPr>
          <w:rFonts w:hint="eastAsia"/>
          <w:snapToGrid w:val="0"/>
          <w:kern w:val="0"/>
        </w:rPr>
      </w:pPr>
    </w:p>
    <w:p/>
    <w:p>
      <w:pPr>
        <w:pStyle w:val="11"/>
        <w:ind w:left="1264" w:leftChars="100" w:right="316" w:rightChars="100" w:hanging="948" w:hangingChars="300"/>
        <w:rPr>
          <w:rFonts w:hint="eastAsia" w:eastAsia="仿宋_GB2312"/>
          <w:snapToGrid w:val="0"/>
          <w:kern w:val="0"/>
          <w:lang w:eastAsia="zh-CN"/>
        </w:rPr>
      </w:pPr>
      <w:bookmarkStart w:id="0" w:name="F_CSDW"/>
      <w:bookmarkEnd w:id="0"/>
    </w:p>
    <w:p/>
    <w:sectPr>
      <w:footerReference r:id="rId7" w:type="first"/>
      <w:footerReference r:id="rId6" w:type="default"/>
      <w:pgSz w:w="16838" w:h="11906" w:orient="landscape"/>
      <w:pgMar w:top="1531" w:right="1871" w:bottom="1531" w:left="1871" w:header="851" w:footer="1417" w:gutter="0"/>
      <w:pgNumType w:fmt="decimal"/>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2"/>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00000000"/>
    <w:rsid w:val="034842D2"/>
    <w:rsid w:val="44A5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numPr>
        <w:ilvl w:val="3"/>
        <w:numId w:val="1"/>
      </w:numPr>
      <w:outlineLvl w:val="3"/>
    </w:pPr>
    <w:rPr>
      <w:rFonts w:ascii="Arial" w:hAnsi="Arial" w:eastAsia="宋体-简" w:cs="Times New Roman"/>
      <w:sz w:val="21"/>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First Indent 2"/>
    <w:basedOn w:val="4"/>
    <w:qFormat/>
    <w:uiPriority w:val="0"/>
    <w:pPr>
      <w:ind w:firstLine="420" w:firstLineChars="200"/>
    </w:pPr>
    <w:rPr>
      <w:rFonts w:ascii="Times New Roman" w:hAnsi="Times New Roman" w:eastAsia="仿宋_GB2312"/>
      <w:sz w:val="32"/>
    </w:rPr>
  </w:style>
  <w:style w:type="paragraph" w:customStyle="1" w:styleId="10">
    <w:name w:val="报告正文"/>
    <w:basedOn w:val="1"/>
    <w:qFormat/>
    <w:uiPriority w:val="0"/>
    <w:pPr>
      <w:ind w:firstLine="640" w:firstLineChars="200"/>
    </w:pPr>
    <w:rPr>
      <w:rFonts w:ascii="Calibri" w:hAnsi="Calibri" w:eastAsia="仿宋" w:cs="Times New Roman"/>
      <w:szCs w:val="28"/>
    </w:rPr>
  </w:style>
  <w:style w:type="paragraph" w:customStyle="1" w:styleId="1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2023-08-01T09:20:00Z</dcterms:created>
  <dc:creator>wuyin</dc:creator>
  <cp:lastModifiedBy>lzh</cp:lastModifiedBy>
  <dcterms:modified xsi:type="dcterms:W3CDTF">2023-08-02T03:38:29Z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F5EE075135064465AFE803FDA5AD057E_12</vt:lpwstr>
  </property>
</Properties>
</file>